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190F9" w14:textId="10B84410" w:rsidR="005F3A73" w:rsidRDefault="005F3A73" w:rsidP="005F3A73">
      <w:pPr>
        <w:jc w:val="both"/>
        <w:rPr>
          <w:b/>
          <w:sz w:val="18"/>
          <w:szCs w:val="18"/>
          <w:lang w:val="ro-MD"/>
        </w:rPr>
      </w:pPr>
      <w:r w:rsidRPr="003F5B3C">
        <w:rPr>
          <w:b/>
          <w:sz w:val="18"/>
          <w:szCs w:val="18"/>
          <w:lang w:val="ro-MD"/>
        </w:rPr>
        <w:t xml:space="preserve">                                                                                                                                                                                                                                                                                                                                                                                                                                                          Tabelul de </w:t>
      </w:r>
      <w:proofErr w:type="spellStart"/>
      <w:r w:rsidRPr="003F5B3C">
        <w:rPr>
          <w:b/>
          <w:sz w:val="18"/>
          <w:szCs w:val="18"/>
          <w:lang w:val="ro-MD"/>
        </w:rPr>
        <w:t>concordanţă</w:t>
      </w:r>
      <w:proofErr w:type="spellEnd"/>
      <w:r w:rsidRPr="003F5B3C">
        <w:rPr>
          <w:b/>
          <w:sz w:val="18"/>
          <w:szCs w:val="18"/>
          <w:lang w:val="ro-MD"/>
        </w:rPr>
        <w:t xml:space="preserve"> </w:t>
      </w:r>
    </w:p>
    <w:p w14:paraId="12CDD65B" w14:textId="77777777" w:rsidR="00EB4C48" w:rsidRDefault="00EB4C48" w:rsidP="005F3A73">
      <w:pPr>
        <w:jc w:val="both"/>
        <w:rPr>
          <w:b/>
          <w:sz w:val="18"/>
          <w:szCs w:val="18"/>
          <w:lang w:val="ro-MD"/>
        </w:rPr>
      </w:pPr>
    </w:p>
    <w:p w14:paraId="68723932" w14:textId="5A89DE17" w:rsidR="00B93C1C" w:rsidRPr="003F5B3C" w:rsidRDefault="00290ABB" w:rsidP="005F3A73">
      <w:pPr>
        <w:jc w:val="both"/>
        <w:rPr>
          <w:b/>
          <w:bCs/>
          <w:sz w:val="18"/>
          <w:szCs w:val="18"/>
          <w:lang w:val="ro-MD"/>
        </w:rPr>
      </w:pPr>
      <w:r w:rsidRPr="009A5216">
        <w:rPr>
          <w:b/>
          <w:bCs/>
          <w:sz w:val="18"/>
          <w:szCs w:val="18"/>
          <w:lang w:val="ro-MD"/>
        </w:rPr>
        <w:t>REGULAMENTUL DELEGAT (UE) 2015/585 AL COMISIEI</w:t>
      </w:r>
      <w:r>
        <w:rPr>
          <w:b/>
          <w:bCs/>
          <w:sz w:val="18"/>
          <w:szCs w:val="18"/>
          <w:lang w:val="ro-MD"/>
        </w:rPr>
        <w:t xml:space="preserve"> </w:t>
      </w:r>
      <w:r w:rsidRPr="009A5216">
        <w:rPr>
          <w:b/>
          <w:bCs/>
          <w:sz w:val="18"/>
          <w:szCs w:val="18"/>
          <w:lang w:val="ro-MD"/>
        </w:rPr>
        <w:t>din 18 decembrie 2014</w:t>
      </w:r>
      <w:r>
        <w:rPr>
          <w:b/>
          <w:bCs/>
          <w:sz w:val="18"/>
          <w:szCs w:val="18"/>
          <w:lang w:val="ro-MD"/>
        </w:rPr>
        <w:t xml:space="preserve"> </w:t>
      </w:r>
      <w:r w:rsidRPr="009A5216">
        <w:rPr>
          <w:b/>
          <w:bCs/>
          <w:sz w:val="18"/>
          <w:szCs w:val="18"/>
          <w:lang w:val="ro-MD"/>
        </w:rPr>
        <w:t>de completare a Regulamentului (UE) nr. 575/2013 al Parlamentului European și al Consiliului în ceea ce privește standardele tehnice de reglementare pentru precizarea perioadelor de risc de marjă</w:t>
      </w:r>
      <w:r w:rsidRPr="009A5216">
        <w:rPr>
          <w:b/>
          <w:bCs/>
          <w:sz w:val="18"/>
          <w:szCs w:val="18"/>
          <w:lang w:val="en-US"/>
        </w:rPr>
        <w:t xml:space="preserve">, CELEX 02014R0183, </w:t>
      </w:r>
      <w:proofErr w:type="spellStart"/>
      <w:r w:rsidRPr="009A5216">
        <w:rPr>
          <w:b/>
          <w:bCs/>
          <w:sz w:val="18"/>
          <w:szCs w:val="18"/>
          <w:lang w:val="en-US"/>
        </w:rPr>
        <w:t>astfel</w:t>
      </w:r>
      <w:proofErr w:type="spellEnd"/>
      <w:r w:rsidRPr="009A5216">
        <w:rPr>
          <w:b/>
          <w:bCs/>
          <w:sz w:val="18"/>
          <w:szCs w:val="18"/>
          <w:lang w:val="en-US"/>
        </w:rPr>
        <w:t xml:space="preserve"> cum a </w:t>
      </w:r>
      <w:proofErr w:type="spellStart"/>
      <w:r w:rsidRPr="009A5216">
        <w:rPr>
          <w:b/>
          <w:bCs/>
          <w:sz w:val="18"/>
          <w:szCs w:val="18"/>
          <w:lang w:val="en-US"/>
        </w:rPr>
        <w:t>fost</w:t>
      </w:r>
      <w:proofErr w:type="spellEnd"/>
      <w:r w:rsidRPr="009A5216">
        <w:rPr>
          <w:b/>
          <w:bCs/>
          <w:sz w:val="18"/>
          <w:szCs w:val="18"/>
          <w:lang w:val="en-US"/>
        </w:rPr>
        <w:t xml:space="preserve"> </w:t>
      </w:r>
      <w:proofErr w:type="spellStart"/>
      <w:r w:rsidRPr="009A5216">
        <w:rPr>
          <w:b/>
          <w:bCs/>
          <w:sz w:val="18"/>
          <w:szCs w:val="18"/>
          <w:lang w:val="en-US"/>
        </w:rPr>
        <w:t>modificat</w:t>
      </w:r>
      <w:proofErr w:type="spellEnd"/>
      <w:r w:rsidRPr="009A5216">
        <w:rPr>
          <w:b/>
          <w:bCs/>
          <w:sz w:val="18"/>
          <w:szCs w:val="18"/>
          <w:lang w:val="en-US"/>
        </w:rPr>
        <w:t xml:space="preserve"> </w:t>
      </w:r>
      <w:proofErr w:type="spellStart"/>
      <w:r w:rsidRPr="009A5216">
        <w:rPr>
          <w:b/>
          <w:bCs/>
          <w:sz w:val="18"/>
          <w:szCs w:val="18"/>
          <w:lang w:val="en-US"/>
        </w:rPr>
        <w:t>prin</w:t>
      </w:r>
      <w:proofErr w:type="spellEnd"/>
      <w:r w:rsidRPr="009A5216">
        <w:rPr>
          <w:b/>
          <w:bCs/>
          <w:sz w:val="18"/>
          <w:szCs w:val="18"/>
          <w:lang w:val="en-US"/>
        </w:rPr>
        <w:t xml:space="preserve"> </w:t>
      </w:r>
      <w:proofErr w:type="spellStart"/>
      <w:r w:rsidRPr="009A5216">
        <w:rPr>
          <w:b/>
          <w:bCs/>
          <w:sz w:val="18"/>
          <w:szCs w:val="18"/>
          <w:lang w:val="en-US"/>
        </w:rPr>
        <w:t>Regulamentul</w:t>
      </w:r>
      <w:proofErr w:type="spellEnd"/>
      <w:r w:rsidRPr="009A5216">
        <w:rPr>
          <w:b/>
          <w:bCs/>
          <w:sz w:val="18"/>
          <w:szCs w:val="18"/>
          <w:lang w:val="en-US"/>
        </w:rPr>
        <w:t xml:space="preserve"> </w:t>
      </w:r>
      <w:proofErr w:type="spellStart"/>
      <w:r w:rsidRPr="009A5216">
        <w:rPr>
          <w:b/>
          <w:bCs/>
          <w:sz w:val="18"/>
          <w:szCs w:val="18"/>
          <w:lang w:val="en-US"/>
        </w:rPr>
        <w:t>delegat</w:t>
      </w:r>
      <w:proofErr w:type="spellEnd"/>
      <w:r w:rsidRPr="009A5216">
        <w:rPr>
          <w:b/>
          <w:bCs/>
          <w:sz w:val="18"/>
          <w:szCs w:val="18"/>
          <w:lang w:val="en-US"/>
        </w:rPr>
        <w:t xml:space="preserve"> (UE) 2022/954 al </w:t>
      </w:r>
      <w:proofErr w:type="spellStart"/>
      <w:r w:rsidRPr="009A5216">
        <w:rPr>
          <w:b/>
          <w:bCs/>
          <w:sz w:val="18"/>
          <w:szCs w:val="18"/>
          <w:lang w:val="en-US"/>
        </w:rPr>
        <w:t>comisiei</w:t>
      </w:r>
      <w:proofErr w:type="spellEnd"/>
      <w:r w:rsidRPr="009A5216">
        <w:rPr>
          <w:b/>
          <w:bCs/>
          <w:sz w:val="18"/>
          <w:szCs w:val="18"/>
          <w:lang w:val="en-US"/>
        </w:rPr>
        <w:t xml:space="preserve"> din 12 </w:t>
      </w:r>
      <w:proofErr w:type="spellStart"/>
      <w:r w:rsidRPr="009A5216">
        <w:rPr>
          <w:b/>
          <w:bCs/>
          <w:sz w:val="18"/>
          <w:szCs w:val="18"/>
          <w:lang w:val="en-US"/>
        </w:rPr>
        <w:t>mai</w:t>
      </w:r>
      <w:proofErr w:type="spellEnd"/>
      <w:r w:rsidRPr="009A5216">
        <w:rPr>
          <w:b/>
          <w:bCs/>
          <w:sz w:val="18"/>
          <w:szCs w:val="18"/>
          <w:lang w:val="en-US"/>
        </w:rPr>
        <w:t xml:space="preserve"> 2022</w:t>
      </w:r>
    </w:p>
    <w:tbl>
      <w:tblPr>
        <w:tblStyle w:val="TableGrid"/>
        <w:tblW w:w="14406" w:type="dxa"/>
        <w:tblLook w:val="04A0" w:firstRow="1" w:lastRow="0" w:firstColumn="1" w:lastColumn="0" w:noHBand="0" w:noVBand="1"/>
      </w:tblPr>
      <w:tblGrid>
        <w:gridCol w:w="1036"/>
        <w:gridCol w:w="13370"/>
      </w:tblGrid>
      <w:tr w:rsidR="005C1753" w:rsidRPr="00433DC0" w14:paraId="4234AB45" w14:textId="77777777" w:rsidTr="00F53042">
        <w:tc>
          <w:tcPr>
            <w:tcW w:w="1036" w:type="dxa"/>
            <w:vMerge w:val="restart"/>
          </w:tcPr>
          <w:p w14:paraId="156328E2" w14:textId="61E2B53F" w:rsidR="005C1753" w:rsidRPr="003F5B3C" w:rsidRDefault="005736A5" w:rsidP="005736A5">
            <w:pPr>
              <w:tabs>
                <w:tab w:val="left" w:pos="360"/>
              </w:tabs>
              <w:ind w:left="360"/>
              <w:jc w:val="center"/>
              <w:rPr>
                <w:rFonts w:eastAsia="Arial Unicode MS"/>
                <w:b/>
                <w:bCs/>
                <w:sz w:val="18"/>
                <w:szCs w:val="18"/>
                <w:lang w:val="ro-MD"/>
              </w:rPr>
            </w:pPr>
            <w:r w:rsidRPr="003F5B3C">
              <w:rPr>
                <w:rFonts w:eastAsia="Arial Unicode MS"/>
                <w:b/>
                <w:bCs/>
                <w:sz w:val="18"/>
                <w:szCs w:val="18"/>
                <w:lang w:val="ro-MD"/>
              </w:rPr>
              <w:t>1</w:t>
            </w:r>
          </w:p>
        </w:tc>
        <w:tc>
          <w:tcPr>
            <w:tcW w:w="13370" w:type="dxa"/>
          </w:tcPr>
          <w:p w14:paraId="4CA071A5" w14:textId="79606CB9" w:rsidR="005C1753" w:rsidRPr="003F5B3C" w:rsidRDefault="005C1753" w:rsidP="00100467">
            <w:pPr>
              <w:tabs>
                <w:tab w:val="left" w:pos="288"/>
              </w:tabs>
              <w:jc w:val="both"/>
              <w:rPr>
                <w:b/>
                <w:bCs/>
                <w:sz w:val="18"/>
                <w:szCs w:val="18"/>
                <w:lang w:val="ro-MD"/>
              </w:rPr>
            </w:pPr>
            <w:r w:rsidRPr="003F5B3C">
              <w:rPr>
                <w:rFonts w:eastAsia="Arial Unicode MS"/>
                <w:b/>
                <w:bCs/>
                <w:sz w:val="18"/>
                <w:szCs w:val="18"/>
                <w:lang w:val="ro-MD"/>
              </w:rPr>
              <w:t>Titlul actului Uniunii Europene, inclusiv ce</w:t>
            </w:r>
            <w:r w:rsidR="005736A5" w:rsidRPr="003F5B3C">
              <w:rPr>
                <w:rFonts w:eastAsia="Arial Unicode MS"/>
                <w:b/>
                <w:bCs/>
                <w:sz w:val="18"/>
                <w:szCs w:val="18"/>
                <w:lang w:val="ro-MD"/>
              </w:rPr>
              <w:t>a</w:t>
            </w:r>
            <w:r w:rsidRPr="003F5B3C">
              <w:rPr>
                <w:rFonts w:eastAsia="Arial Unicode MS"/>
                <w:b/>
                <w:bCs/>
                <w:sz w:val="18"/>
                <w:szCs w:val="18"/>
                <w:lang w:val="ro-MD"/>
              </w:rPr>
              <w:t xml:space="preserve"> mai recent</w:t>
            </w:r>
            <w:r w:rsidR="005736A5" w:rsidRPr="003F5B3C">
              <w:rPr>
                <w:rFonts w:eastAsia="Arial Unicode MS"/>
                <w:b/>
                <w:bCs/>
                <w:sz w:val="18"/>
                <w:szCs w:val="18"/>
                <w:lang w:val="ro-MD"/>
              </w:rPr>
              <w:t xml:space="preserve">ă modificare, </w:t>
            </w:r>
            <w:proofErr w:type="spellStart"/>
            <w:r w:rsidR="005736A5" w:rsidRPr="003F5B3C">
              <w:rPr>
                <w:rFonts w:eastAsia="Arial Unicode MS"/>
                <w:b/>
                <w:bCs/>
                <w:sz w:val="18"/>
                <w:szCs w:val="18"/>
                <w:lang w:val="ro-MD"/>
              </w:rPr>
              <w:t>nr.CELEX</w:t>
            </w:r>
            <w:proofErr w:type="spellEnd"/>
          </w:p>
        </w:tc>
      </w:tr>
      <w:tr w:rsidR="005C1753" w:rsidRPr="00433DC0" w14:paraId="22BB6EA7" w14:textId="77777777" w:rsidTr="00F53042">
        <w:trPr>
          <w:trHeight w:val="750"/>
        </w:trPr>
        <w:tc>
          <w:tcPr>
            <w:tcW w:w="1036" w:type="dxa"/>
            <w:vMerge/>
          </w:tcPr>
          <w:p w14:paraId="3FEFA6A8" w14:textId="77777777" w:rsidR="005C1753" w:rsidRPr="003F5B3C" w:rsidRDefault="005C1753" w:rsidP="005736A5">
            <w:pPr>
              <w:tabs>
                <w:tab w:val="left" w:pos="360"/>
              </w:tabs>
              <w:spacing w:before="240" w:after="240"/>
              <w:jc w:val="center"/>
              <w:rPr>
                <w:rFonts w:eastAsia="Arial Unicode MS"/>
                <w:bCs/>
                <w:sz w:val="18"/>
                <w:szCs w:val="18"/>
                <w:lang w:val="ro-MD"/>
              </w:rPr>
            </w:pPr>
          </w:p>
        </w:tc>
        <w:tc>
          <w:tcPr>
            <w:tcW w:w="13370" w:type="dxa"/>
            <w:vAlign w:val="center"/>
          </w:tcPr>
          <w:p w14:paraId="5F28290B" w14:textId="2899582F" w:rsidR="005C1753" w:rsidRPr="005D5F25" w:rsidRDefault="009A5216" w:rsidP="009A5216">
            <w:pPr>
              <w:jc w:val="both"/>
              <w:rPr>
                <w:b/>
                <w:bCs/>
                <w:sz w:val="18"/>
                <w:szCs w:val="18"/>
                <w:lang w:val="en-US"/>
              </w:rPr>
            </w:pPr>
            <w:r w:rsidRPr="009A5216">
              <w:rPr>
                <w:b/>
                <w:bCs/>
                <w:sz w:val="18"/>
                <w:szCs w:val="18"/>
                <w:lang w:val="ro-MD"/>
              </w:rPr>
              <w:t>REGULAMENTUL DELEGAT (UE) 2015/585 AL COMISIEI</w:t>
            </w:r>
            <w:r>
              <w:rPr>
                <w:b/>
                <w:bCs/>
                <w:sz w:val="18"/>
                <w:szCs w:val="18"/>
                <w:lang w:val="ro-MD"/>
              </w:rPr>
              <w:t xml:space="preserve"> </w:t>
            </w:r>
            <w:r w:rsidRPr="009A5216">
              <w:rPr>
                <w:b/>
                <w:bCs/>
                <w:sz w:val="18"/>
                <w:szCs w:val="18"/>
                <w:lang w:val="ro-MD"/>
              </w:rPr>
              <w:t>din 18 decembrie 2014</w:t>
            </w:r>
            <w:r>
              <w:rPr>
                <w:b/>
                <w:bCs/>
                <w:sz w:val="18"/>
                <w:szCs w:val="18"/>
                <w:lang w:val="ro-MD"/>
              </w:rPr>
              <w:t xml:space="preserve"> </w:t>
            </w:r>
            <w:r w:rsidRPr="009A5216">
              <w:rPr>
                <w:b/>
                <w:bCs/>
                <w:sz w:val="18"/>
                <w:szCs w:val="18"/>
                <w:lang w:val="ro-MD"/>
              </w:rPr>
              <w:t>de completare a Regulamentului (UE) nr. 575/2013 al Parlamentului European și al Consiliului în ceea ce privește standardele tehnice de reglementare pentru precizarea perioadelor de risc de marjă</w:t>
            </w:r>
            <w:r w:rsidRPr="009A5216">
              <w:rPr>
                <w:b/>
                <w:bCs/>
                <w:sz w:val="18"/>
                <w:szCs w:val="18"/>
                <w:lang w:val="en-US"/>
              </w:rPr>
              <w:t xml:space="preserve">, CELEX 02014R0183, </w:t>
            </w:r>
            <w:proofErr w:type="spellStart"/>
            <w:r w:rsidRPr="009A5216">
              <w:rPr>
                <w:b/>
                <w:bCs/>
                <w:sz w:val="18"/>
                <w:szCs w:val="18"/>
                <w:lang w:val="en-US"/>
              </w:rPr>
              <w:t>astfel</w:t>
            </w:r>
            <w:proofErr w:type="spellEnd"/>
            <w:r w:rsidRPr="009A5216">
              <w:rPr>
                <w:b/>
                <w:bCs/>
                <w:sz w:val="18"/>
                <w:szCs w:val="18"/>
                <w:lang w:val="en-US"/>
              </w:rPr>
              <w:t xml:space="preserve"> cum a </w:t>
            </w:r>
            <w:proofErr w:type="spellStart"/>
            <w:r w:rsidRPr="009A5216">
              <w:rPr>
                <w:b/>
                <w:bCs/>
                <w:sz w:val="18"/>
                <w:szCs w:val="18"/>
                <w:lang w:val="en-US"/>
              </w:rPr>
              <w:t>fost</w:t>
            </w:r>
            <w:proofErr w:type="spellEnd"/>
            <w:r w:rsidRPr="009A5216">
              <w:rPr>
                <w:b/>
                <w:bCs/>
                <w:sz w:val="18"/>
                <w:szCs w:val="18"/>
                <w:lang w:val="en-US"/>
              </w:rPr>
              <w:t xml:space="preserve"> </w:t>
            </w:r>
            <w:proofErr w:type="spellStart"/>
            <w:r w:rsidRPr="009A5216">
              <w:rPr>
                <w:b/>
                <w:bCs/>
                <w:sz w:val="18"/>
                <w:szCs w:val="18"/>
                <w:lang w:val="en-US"/>
              </w:rPr>
              <w:t>modificat</w:t>
            </w:r>
            <w:proofErr w:type="spellEnd"/>
            <w:r w:rsidRPr="009A5216">
              <w:rPr>
                <w:b/>
                <w:bCs/>
                <w:sz w:val="18"/>
                <w:szCs w:val="18"/>
                <w:lang w:val="en-US"/>
              </w:rPr>
              <w:t xml:space="preserve"> </w:t>
            </w:r>
            <w:proofErr w:type="spellStart"/>
            <w:r w:rsidRPr="009A5216">
              <w:rPr>
                <w:b/>
                <w:bCs/>
                <w:sz w:val="18"/>
                <w:szCs w:val="18"/>
                <w:lang w:val="en-US"/>
              </w:rPr>
              <w:t>prin</w:t>
            </w:r>
            <w:proofErr w:type="spellEnd"/>
            <w:r w:rsidRPr="009A5216">
              <w:rPr>
                <w:b/>
                <w:bCs/>
                <w:sz w:val="18"/>
                <w:szCs w:val="18"/>
                <w:lang w:val="en-US"/>
              </w:rPr>
              <w:t xml:space="preserve"> </w:t>
            </w:r>
            <w:proofErr w:type="spellStart"/>
            <w:r w:rsidRPr="009A5216">
              <w:rPr>
                <w:b/>
                <w:bCs/>
                <w:sz w:val="18"/>
                <w:szCs w:val="18"/>
                <w:lang w:val="en-US"/>
              </w:rPr>
              <w:t>Regulamentul</w:t>
            </w:r>
            <w:proofErr w:type="spellEnd"/>
            <w:r w:rsidRPr="009A5216">
              <w:rPr>
                <w:b/>
                <w:bCs/>
                <w:sz w:val="18"/>
                <w:szCs w:val="18"/>
                <w:lang w:val="en-US"/>
              </w:rPr>
              <w:t xml:space="preserve"> </w:t>
            </w:r>
            <w:proofErr w:type="spellStart"/>
            <w:r w:rsidRPr="009A5216">
              <w:rPr>
                <w:b/>
                <w:bCs/>
                <w:sz w:val="18"/>
                <w:szCs w:val="18"/>
                <w:lang w:val="en-US"/>
              </w:rPr>
              <w:t>delegat</w:t>
            </w:r>
            <w:proofErr w:type="spellEnd"/>
            <w:r w:rsidRPr="009A5216">
              <w:rPr>
                <w:b/>
                <w:bCs/>
                <w:sz w:val="18"/>
                <w:szCs w:val="18"/>
                <w:lang w:val="en-US"/>
              </w:rPr>
              <w:t xml:space="preserve"> (UE) 2022/954 al </w:t>
            </w:r>
            <w:proofErr w:type="spellStart"/>
            <w:r w:rsidRPr="009A5216">
              <w:rPr>
                <w:b/>
                <w:bCs/>
                <w:sz w:val="18"/>
                <w:szCs w:val="18"/>
                <w:lang w:val="en-US"/>
              </w:rPr>
              <w:t>comisiei</w:t>
            </w:r>
            <w:proofErr w:type="spellEnd"/>
            <w:r w:rsidRPr="009A5216">
              <w:rPr>
                <w:b/>
                <w:bCs/>
                <w:sz w:val="18"/>
                <w:szCs w:val="18"/>
                <w:lang w:val="en-US"/>
              </w:rPr>
              <w:t xml:space="preserve"> din 12 </w:t>
            </w:r>
            <w:proofErr w:type="spellStart"/>
            <w:r w:rsidRPr="009A5216">
              <w:rPr>
                <w:b/>
                <w:bCs/>
                <w:sz w:val="18"/>
                <w:szCs w:val="18"/>
                <w:lang w:val="en-US"/>
              </w:rPr>
              <w:t>mai</w:t>
            </w:r>
            <w:proofErr w:type="spellEnd"/>
            <w:r w:rsidRPr="009A5216">
              <w:rPr>
                <w:b/>
                <w:bCs/>
                <w:sz w:val="18"/>
                <w:szCs w:val="18"/>
                <w:lang w:val="en-US"/>
              </w:rPr>
              <w:t xml:space="preserve"> 2022</w:t>
            </w:r>
          </w:p>
        </w:tc>
      </w:tr>
      <w:tr w:rsidR="005C1753" w:rsidRPr="00433DC0" w14:paraId="4C1AE693" w14:textId="77777777" w:rsidTr="00F53042">
        <w:tc>
          <w:tcPr>
            <w:tcW w:w="1036" w:type="dxa"/>
            <w:vMerge w:val="restart"/>
          </w:tcPr>
          <w:p w14:paraId="17604346" w14:textId="425F04A1" w:rsidR="005C1753" w:rsidRPr="003F5B3C" w:rsidRDefault="005736A5" w:rsidP="005736A5">
            <w:pPr>
              <w:pStyle w:val="ListParagraph"/>
              <w:tabs>
                <w:tab w:val="left" w:pos="736"/>
              </w:tabs>
              <w:jc w:val="center"/>
              <w:rPr>
                <w:b/>
                <w:bCs/>
                <w:sz w:val="18"/>
                <w:szCs w:val="18"/>
                <w:lang w:val="ro-MD"/>
              </w:rPr>
            </w:pPr>
            <w:r w:rsidRPr="003F5B3C">
              <w:rPr>
                <w:b/>
                <w:bCs/>
                <w:sz w:val="18"/>
                <w:szCs w:val="18"/>
                <w:lang w:val="ro-MD"/>
              </w:rPr>
              <w:t>2</w:t>
            </w:r>
          </w:p>
        </w:tc>
        <w:tc>
          <w:tcPr>
            <w:tcW w:w="13370" w:type="dxa"/>
          </w:tcPr>
          <w:p w14:paraId="0B90C67A" w14:textId="4CFAD522" w:rsidR="005C1753" w:rsidRPr="003F5B3C" w:rsidRDefault="005C1753" w:rsidP="00100467">
            <w:pPr>
              <w:pStyle w:val="ListParagraph"/>
              <w:tabs>
                <w:tab w:val="left" w:pos="284"/>
              </w:tabs>
              <w:ind w:left="0"/>
              <w:jc w:val="both"/>
              <w:rPr>
                <w:b/>
                <w:bCs/>
                <w:sz w:val="18"/>
                <w:szCs w:val="18"/>
                <w:lang w:val="ro-MD"/>
              </w:rPr>
            </w:pPr>
            <w:r w:rsidRPr="003F5B3C">
              <w:rPr>
                <w:b/>
                <w:bCs/>
                <w:sz w:val="18"/>
                <w:szCs w:val="18"/>
                <w:lang w:val="ro-MD"/>
              </w:rPr>
              <w:t xml:space="preserve">Titlul proiectului de act normativ </w:t>
            </w:r>
            <w:proofErr w:type="spellStart"/>
            <w:r w:rsidRPr="003F5B3C">
              <w:rPr>
                <w:b/>
                <w:bCs/>
                <w:sz w:val="18"/>
                <w:szCs w:val="18"/>
                <w:lang w:val="ro-MD"/>
              </w:rPr>
              <w:t>naţional</w:t>
            </w:r>
            <w:proofErr w:type="spellEnd"/>
          </w:p>
        </w:tc>
      </w:tr>
      <w:tr w:rsidR="005C1753" w:rsidRPr="00433DC0" w14:paraId="38DA1561" w14:textId="77777777" w:rsidTr="00F53042">
        <w:tc>
          <w:tcPr>
            <w:tcW w:w="1036" w:type="dxa"/>
            <w:vMerge/>
          </w:tcPr>
          <w:p w14:paraId="4D90D7E6" w14:textId="77777777" w:rsidR="005C1753" w:rsidRPr="003F5B3C" w:rsidRDefault="005C1753" w:rsidP="005736A5">
            <w:pPr>
              <w:tabs>
                <w:tab w:val="left" w:pos="736"/>
              </w:tabs>
              <w:jc w:val="center"/>
              <w:rPr>
                <w:b/>
                <w:sz w:val="18"/>
                <w:szCs w:val="18"/>
                <w:u w:val="single"/>
                <w:lang w:val="ro-MD"/>
              </w:rPr>
            </w:pPr>
          </w:p>
        </w:tc>
        <w:tc>
          <w:tcPr>
            <w:tcW w:w="13370" w:type="dxa"/>
          </w:tcPr>
          <w:p w14:paraId="0EADB3DE" w14:textId="60512DFF" w:rsidR="005C1753" w:rsidRPr="003F5B3C" w:rsidRDefault="00AE5FCD" w:rsidP="00675F66">
            <w:pPr>
              <w:jc w:val="both"/>
              <w:rPr>
                <w:bCs/>
                <w:sz w:val="18"/>
                <w:szCs w:val="18"/>
                <w:lang w:val="ro-MD"/>
              </w:rPr>
            </w:pPr>
            <w:r w:rsidRPr="00AE5FCD">
              <w:rPr>
                <w:bCs/>
                <w:sz w:val="18"/>
                <w:szCs w:val="18"/>
                <w:lang w:val="ro-MD"/>
              </w:rPr>
              <w:t>Proiectul Hotărârii Comitetului executiv al Băncii Naționale a Moldovei „</w:t>
            </w:r>
            <w:r w:rsidRPr="00AE5FCD">
              <w:rPr>
                <w:bCs/>
                <w:sz w:val="18"/>
                <w:szCs w:val="18"/>
                <w:lang w:val="ro-RO"/>
              </w:rPr>
              <w:t xml:space="preserve">Pentru </w:t>
            </w:r>
            <w:r w:rsidRPr="00AE5FCD">
              <w:rPr>
                <w:bCs/>
                <w:sz w:val="18"/>
                <w:szCs w:val="18"/>
                <w:lang w:val="ro-MD"/>
              </w:rPr>
              <w:t>modificarea</w:t>
            </w:r>
            <w:r w:rsidRPr="00AE5FCD">
              <w:rPr>
                <w:bCs/>
                <w:sz w:val="18"/>
                <w:szCs w:val="18"/>
                <w:lang w:val="ro-RO"/>
              </w:rPr>
              <w:t xml:space="preserve"> unor acte normative ale </w:t>
            </w:r>
            <w:r w:rsidRPr="00AE5FCD">
              <w:rPr>
                <w:bCs/>
                <w:sz w:val="18"/>
                <w:szCs w:val="18"/>
                <w:lang w:val="ro-MD"/>
              </w:rPr>
              <w:t xml:space="preserve">Băncii Naționale a Moldovei” </w:t>
            </w:r>
            <w:r w:rsidRPr="00AF7168">
              <w:rPr>
                <w:bCs/>
                <w:sz w:val="18"/>
                <w:szCs w:val="18"/>
                <w:lang w:val="ro-RO"/>
              </w:rPr>
              <w:t>(modificarea Regulamentului cu privire la tratamentul</w:t>
            </w:r>
            <w:r w:rsidRPr="00AE5FCD">
              <w:rPr>
                <w:bCs/>
                <w:sz w:val="18"/>
                <w:szCs w:val="18"/>
                <w:lang w:val="ro-RO"/>
              </w:rPr>
              <w:t xml:space="preserve"> </w:t>
            </w:r>
            <w:r w:rsidRPr="00AF7168">
              <w:rPr>
                <w:bCs/>
                <w:sz w:val="18"/>
                <w:szCs w:val="18"/>
                <w:lang w:val="ro-RO"/>
              </w:rPr>
              <w:t xml:space="preserve">riscului </w:t>
            </w:r>
            <w:r w:rsidRPr="00AE5FCD">
              <w:rPr>
                <w:bCs/>
                <w:sz w:val="18"/>
                <w:szCs w:val="18"/>
                <w:lang w:val="ro-MD"/>
              </w:rPr>
              <w:t xml:space="preserve">de credit al </w:t>
            </w:r>
            <w:proofErr w:type="spellStart"/>
            <w:r w:rsidRPr="00AE5FCD">
              <w:rPr>
                <w:bCs/>
                <w:sz w:val="18"/>
                <w:szCs w:val="18"/>
                <w:lang w:val="ro-MD"/>
              </w:rPr>
              <w:t>contrapărţii</w:t>
            </w:r>
            <w:proofErr w:type="spellEnd"/>
            <w:r w:rsidRPr="00AE5FCD">
              <w:rPr>
                <w:bCs/>
                <w:sz w:val="18"/>
                <w:szCs w:val="18"/>
                <w:lang w:val="ro-RO"/>
              </w:rPr>
              <w:t xml:space="preserve"> </w:t>
            </w:r>
            <w:r w:rsidRPr="00AF7168">
              <w:rPr>
                <w:bCs/>
                <w:sz w:val="18"/>
                <w:szCs w:val="18"/>
                <w:lang w:val="ro-RO"/>
              </w:rPr>
              <w:t xml:space="preserve">și </w:t>
            </w:r>
            <w:r w:rsidRPr="00AE5FCD">
              <w:rPr>
                <w:bCs/>
                <w:sz w:val="18"/>
                <w:szCs w:val="18"/>
                <w:lang w:val="ro-RO"/>
              </w:rPr>
              <w:t>Instrucțiun</w:t>
            </w:r>
            <w:r w:rsidR="00774227">
              <w:rPr>
                <w:bCs/>
                <w:sz w:val="18"/>
                <w:szCs w:val="18"/>
                <w:lang w:val="ro-RO"/>
              </w:rPr>
              <w:t>ii</w:t>
            </w:r>
            <w:r w:rsidRPr="00AE5FCD">
              <w:rPr>
                <w:bCs/>
                <w:sz w:val="18"/>
                <w:szCs w:val="18"/>
                <w:lang w:val="ro-RO"/>
              </w:rPr>
              <w:t xml:space="preserve"> cu privire la prezentarea de către bănci a rapoartelor COREP în scopuri de supraveghere</w:t>
            </w:r>
            <w:r w:rsidRPr="00AE5FCD">
              <w:rPr>
                <w:bCs/>
                <w:sz w:val="18"/>
                <w:szCs w:val="18"/>
                <w:lang w:val="ro-MD"/>
              </w:rPr>
              <w:t>)</w:t>
            </w:r>
          </w:p>
        </w:tc>
      </w:tr>
      <w:tr w:rsidR="005C1753" w:rsidRPr="00433DC0" w14:paraId="52E95686" w14:textId="77777777" w:rsidTr="00F53042">
        <w:tc>
          <w:tcPr>
            <w:tcW w:w="1036" w:type="dxa"/>
          </w:tcPr>
          <w:p w14:paraId="42781153" w14:textId="33DBF68F" w:rsidR="005C1753" w:rsidRPr="003F5B3C" w:rsidRDefault="005736A5" w:rsidP="005736A5">
            <w:pPr>
              <w:pStyle w:val="ListParagraph"/>
              <w:tabs>
                <w:tab w:val="left" w:pos="736"/>
              </w:tabs>
              <w:jc w:val="center"/>
              <w:rPr>
                <w:b/>
                <w:bCs/>
                <w:sz w:val="18"/>
                <w:szCs w:val="18"/>
                <w:lang w:val="ro-MD"/>
              </w:rPr>
            </w:pPr>
            <w:r w:rsidRPr="003F5B3C">
              <w:rPr>
                <w:b/>
                <w:bCs/>
                <w:sz w:val="18"/>
                <w:szCs w:val="18"/>
                <w:lang w:val="ro-MD"/>
              </w:rPr>
              <w:t>3</w:t>
            </w:r>
          </w:p>
        </w:tc>
        <w:tc>
          <w:tcPr>
            <w:tcW w:w="13370" w:type="dxa"/>
          </w:tcPr>
          <w:p w14:paraId="2172F9E4" w14:textId="65A3DB21" w:rsidR="005C1753" w:rsidRPr="003F5B3C" w:rsidRDefault="005C1753" w:rsidP="00100467">
            <w:pPr>
              <w:jc w:val="both"/>
              <w:rPr>
                <w:sz w:val="18"/>
                <w:szCs w:val="18"/>
                <w:lang w:val="ro-MD"/>
              </w:rPr>
            </w:pPr>
            <w:r w:rsidRPr="003F5B3C">
              <w:rPr>
                <w:b/>
                <w:bCs/>
                <w:sz w:val="18"/>
                <w:szCs w:val="18"/>
                <w:lang w:val="ro-MD"/>
              </w:rPr>
              <w:t xml:space="preserve">Gradul general de compatibilitate </w:t>
            </w:r>
            <w:r w:rsidR="005736A5" w:rsidRPr="003F5B3C">
              <w:rPr>
                <w:b/>
                <w:bCs/>
                <w:sz w:val="18"/>
                <w:szCs w:val="18"/>
                <w:lang w:val="ro-MD"/>
              </w:rPr>
              <w:t>–</w:t>
            </w:r>
            <w:r w:rsidR="00675F66">
              <w:rPr>
                <w:b/>
                <w:bCs/>
                <w:sz w:val="18"/>
                <w:szCs w:val="18"/>
                <w:lang w:val="ro-MD"/>
              </w:rPr>
              <w:t xml:space="preserve"> </w:t>
            </w:r>
            <w:r w:rsidRPr="003F5B3C">
              <w:rPr>
                <w:rFonts w:eastAsia="MS Mincho"/>
                <w:sz w:val="18"/>
                <w:szCs w:val="18"/>
                <w:lang w:val="ro-MD"/>
              </w:rPr>
              <w:t>compatibil</w:t>
            </w:r>
          </w:p>
        </w:tc>
      </w:tr>
      <w:tr w:rsidR="005736A5" w:rsidRPr="00433DC0" w14:paraId="2013D9CD" w14:textId="77777777" w:rsidTr="00F53042">
        <w:tc>
          <w:tcPr>
            <w:tcW w:w="1036" w:type="dxa"/>
          </w:tcPr>
          <w:p w14:paraId="085A466A" w14:textId="31787F35" w:rsidR="005736A5" w:rsidRPr="003F5B3C" w:rsidRDefault="005736A5" w:rsidP="005736A5">
            <w:pPr>
              <w:pStyle w:val="ListParagraph"/>
              <w:tabs>
                <w:tab w:val="left" w:pos="736"/>
              </w:tabs>
              <w:jc w:val="center"/>
              <w:rPr>
                <w:b/>
                <w:bCs/>
                <w:sz w:val="18"/>
                <w:szCs w:val="18"/>
                <w:lang w:val="ro-MD"/>
              </w:rPr>
            </w:pPr>
            <w:r w:rsidRPr="003F5B3C">
              <w:rPr>
                <w:b/>
                <w:bCs/>
                <w:sz w:val="18"/>
                <w:szCs w:val="18"/>
                <w:lang w:val="ro-MD"/>
              </w:rPr>
              <w:t>4</w:t>
            </w:r>
          </w:p>
        </w:tc>
        <w:tc>
          <w:tcPr>
            <w:tcW w:w="13370" w:type="dxa"/>
          </w:tcPr>
          <w:p w14:paraId="0A4BFC1F" w14:textId="3D4C9458" w:rsidR="005736A5" w:rsidRPr="003F5B3C" w:rsidRDefault="005736A5" w:rsidP="00100467">
            <w:pPr>
              <w:jc w:val="both"/>
              <w:rPr>
                <w:b/>
                <w:bCs/>
                <w:sz w:val="18"/>
                <w:szCs w:val="18"/>
                <w:lang w:val="ro-MD"/>
              </w:rPr>
            </w:pPr>
            <w:r w:rsidRPr="003F5B3C">
              <w:rPr>
                <w:b/>
                <w:bCs/>
                <w:sz w:val="18"/>
                <w:szCs w:val="18"/>
                <w:lang w:val="ro-MD"/>
              </w:rPr>
              <w:t xml:space="preserve">Autoritatea/persoana responsabilă </w:t>
            </w:r>
            <w:r w:rsidRPr="003F5B3C">
              <w:rPr>
                <w:sz w:val="18"/>
                <w:szCs w:val="18"/>
                <w:lang w:val="ro-MD"/>
              </w:rPr>
              <w:t>– Banca Națională a Moldovei</w:t>
            </w:r>
          </w:p>
        </w:tc>
      </w:tr>
      <w:tr w:rsidR="005736A5" w:rsidRPr="003F5B3C" w14:paraId="4B5F66BF" w14:textId="77777777" w:rsidTr="00F53042">
        <w:tc>
          <w:tcPr>
            <w:tcW w:w="1036" w:type="dxa"/>
          </w:tcPr>
          <w:p w14:paraId="419FF102" w14:textId="119E3441" w:rsidR="005736A5" w:rsidRPr="003F5B3C" w:rsidRDefault="005736A5" w:rsidP="005736A5">
            <w:pPr>
              <w:pStyle w:val="ListParagraph"/>
              <w:tabs>
                <w:tab w:val="left" w:pos="736"/>
              </w:tabs>
              <w:jc w:val="center"/>
              <w:rPr>
                <w:b/>
                <w:bCs/>
                <w:sz w:val="18"/>
                <w:szCs w:val="18"/>
                <w:lang w:val="ro-MD"/>
              </w:rPr>
            </w:pPr>
            <w:r w:rsidRPr="003F5B3C">
              <w:rPr>
                <w:b/>
                <w:bCs/>
                <w:sz w:val="18"/>
                <w:szCs w:val="18"/>
                <w:lang w:val="ro-MD"/>
              </w:rPr>
              <w:t>5</w:t>
            </w:r>
          </w:p>
        </w:tc>
        <w:tc>
          <w:tcPr>
            <w:tcW w:w="13370" w:type="dxa"/>
          </w:tcPr>
          <w:p w14:paraId="2FEDA854" w14:textId="11AFFEB2" w:rsidR="005736A5" w:rsidRPr="003F5B3C" w:rsidRDefault="005736A5" w:rsidP="00100467">
            <w:pPr>
              <w:jc w:val="both"/>
              <w:rPr>
                <w:b/>
                <w:bCs/>
                <w:sz w:val="18"/>
                <w:szCs w:val="18"/>
                <w:lang w:val="ro-MD"/>
              </w:rPr>
            </w:pPr>
            <w:r w:rsidRPr="003F5B3C">
              <w:rPr>
                <w:b/>
                <w:bCs/>
                <w:sz w:val="18"/>
                <w:szCs w:val="18"/>
                <w:lang w:val="ro-MD"/>
              </w:rPr>
              <w:t xml:space="preserve">Data întocmirii/actualizării </w:t>
            </w:r>
            <w:r w:rsidRPr="003F5B3C">
              <w:rPr>
                <w:sz w:val="18"/>
                <w:szCs w:val="18"/>
                <w:lang w:val="ro-MD"/>
              </w:rPr>
              <w:t xml:space="preserve">– </w:t>
            </w:r>
            <w:r w:rsidR="000876C4">
              <w:rPr>
                <w:sz w:val="18"/>
                <w:szCs w:val="18"/>
                <w:lang w:val="ro-MD"/>
              </w:rPr>
              <w:t>0</w:t>
            </w:r>
            <w:r w:rsidR="005D5F25">
              <w:rPr>
                <w:sz w:val="18"/>
                <w:szCs w:val="18"/>
                <w:lang w:val="ro-MD"/>
              </w:rPr>
              <w:t>1</w:t>
            </w:r>
            <w:r w:rsidRPr="003F5B3C">
              <w:rPr>
                <w:sz w:val="18"/>
                <w:szCs w:val="18"/>
                <w:lang w:val="ro-MD"/>
              </w:rPr>
              <w:t>.</w:t>
            </w:r>
            <w:r w:rsidR="005D5F25">
              <w:rPr>
                <w:sz w:val="18"/>
                <w:szCs w:val="18"/>
                <w:lang w:val="ro-MD"/>
              </w:rPr>
              <w:t>12</w:t>
            </w:r>
            <w:r w:rsidRPr="003F5B3C">
              <w:rPr>
                <w:sz w:val="18"/>
                <w:szCs w:val="18"/>
                <w:lang w:val="ro-MD"/>
              </w:rPr>
              <w:t>.202</w:t>
            </w:r>
            <w:r w:rsidR="00643F80" w:rsidRPr="003F5B3C">
              <w:rPr>
                <w:sz w:val="18"/>
                <w:szCs w:val="18"/>
                <w:lang w:val="ro-MD"/>
              </w:rPr>
              <w:t>5</w:t>
            </w:r>
          </w:p>
        </w:tc>
      </w:tr>
    </w:tbl>
    <w:p w14:paraId="0EBC9932" w14:textId="77777777" w:rsidR="005F3A73" w:rsidRPr="003F5B3C" w:rsidRDefault="005F3A73" w:rsidP="005F3A73">
      <w:pPr>
        <w:jc w:val="both"/>
        <w:rPr>
          <w:vanish/>
          <w:sz w:val="18"/>
          <w:szCs w:val="18"/>
          <w:lang w:val="ro-MD"/>
        </w:rPr>
      </w:pPr>
    </w:p>
    <w:p w14:paraId="744DD180" w14:textId="77777777" w:rsidR="005F3A73" w:rsidRPr="003F5B3C" w:rsidRDefault="005F3A73" w:rsidP="005F3A73">
      <w:pPr>
        <w:jc w:val="both"/>
        <w:rPr>
          <w:vanish/>
          <w:sz w:val="18"/>
          <w:szCs w:val="18"/>
          <w:lang w:val="ro-MD"/>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3685"/>
        <w:gridCol w:w="1229"/>
        <w:gridCol w:w="5292"/>
      </w:tblGrid>
      <w:tr w:rsidR="001A4DE8" w:rsidRPr="003F5B3C" w14:paraId="0194AA20" w14:textId="77777777" w:rsidTr="003F5B3C">
        <w:trPr>
          <w:trHeight w:val="723"/>
          <w:tblHeader/>
        </w:trPr>
        <w:tc>
          <w:tcPr>
            <w:tcW w:w="4253" w:type="dxa"/>
          </w:tcPr>
          <w:p w14:paraId="264A8A14" w14:textId="66DB991C" w:rsidR="001A4DE8" w:rsidRPr="003F5B3C" w:rsidRDefault="001A4DE8" w:rsidP="005F3A73">
            <w:pPr>
              <w:jc w:val="both"/>
              <w:rPr>
                <w:b/>
                <w:bCs/>
                <w:sz w:val="18"/>
                <w:szCs w:val="18"/>
                <w:lang w:val="ro-MD"/>
              </w:rPr>
            </w:pPr>
            <w:r w:rsidRPr="003F5B3C">
              <w:rPr>
                <w:b/>
                <w:bCs/>
                <w:sz w:val="18"/>
                <w:szCs w:val="18"/>
                <w:lang w:val="ro-MD"/>
              </w:rPr>
              <w:t>Actul Uniunii Europene</w:t>
            </w:r>
          </w:p>
        </w:tc>
        <w:tc>
          <w:tcPr>
            <w:tcW w:w="3685" w:type="dxa"/>
          </w:tcPr>
          <w:p w14:paraId="35F32FCF" w14:textId="3FA3AFDC" w:rsidR="001A4DE8" w:rsidRPr="003F5B3C" w:rsidRDefault="001A4DE8" w:rsidP="005F3A73">
            <w:pPr>
              <w:jc w:val="both"/>
              <w:rPr>
                <w:bCs/>
                <w:sz w:val="18"/>
                <w:szCs w:val="18"/>
                <w:lang w:val="ro-MD"/>
              </w:rPr>
            </w:pPr>
            <w:r w:rsidRPr="003F5B3C">
              <w:rPr>
                <w:b/>
                <w:bCs/>
                <w:sz w:val="18"/>
                <w:szCs w:val="18"/>
                <w:lang w:val="ro-MD"/>
              </w:rPr>
              <w:t xml:space="preserve">Proiectul de act normativ </w:t>
            </w:r>
            <w:proofErr w:type="spellStart"/>
            <w:r w:rsidRPr="003F5B3C">
              <w:rPr>
                <w:b/>
                <w:bCs/>
                <w:sz w:val="18"/>
                <w:szCs w:val="18"/>
                <w:lang w:val="ro-MD"/>
              </w:rPr>
              <w:t>naţional</w:t>
            </w:r>
            <w:proofErr w:type="spellEnd"/>
          </w:p>
        </w:tc>
        <w:tc>
          <w:tcPr>
            <w:tcW w:w="1229" w:type="dxa"/>
          </w:tcPr>
          <w:p w14:paraId="4D7DEA05" w14:textId="628B8B29" w:rsidR="001A4DE8" w:rsidRPr="003F5B3C" w:rsidRDefault="001A4DE8" w:rsidP="003F5B3C">
            <w:pPr>
              <w:ind w:left="-84" w:right="-112"/>
              <w:rPr>
                <w:b/>
                <w:bCs/>
                <w:sz w:val="18"/>
                <w:szCs w:val="18"/>
                <w:lang w:val="ro-MD"/>
              </w:rPr>
            </w:pPr>
            <w:r w:rsidRPr="003F5B3C">
              <w:rPr>
                <w:b/>
                <w:bCs/>
                <w:sz w:val="18"/>
                <w:szCs w:val="18"/>
                <w:lang w:val="ro-MD"/>
              </w:rPr>
              <w:t>Gradul de compatibilitate</w:t>
            </w:r>
          </w:p>
        </w:tc>
        <w:tc>
          <w:tcPr>
            <w:tcW w:w="5292" w:type="dxa"/>
          </w:tcPr>
          <w:p w14:paraId="5970B66C" w14:textId="5D20B4B2" w:rsidR="001A4DE8" w:rsidRPr="003F5B3C" w:rsidRDefault="001A4DE8" w:rsidP="005F3A73">
            <w:pPr>
              <w:jc w:val="both"/>
              <w:rPr>
                <w:b/>
                <w:bCs/>
                <w:sz w:val="18"/>
                <w:szCs w:val="18"/>
                <w:lang w:val="ro-MD"/>
              </w:rPr>
            </w:pPr>
            <w:proofErr w:type="spellStart"/>
            <w:r w:rsidRPr="003F5B3C">
              <w:rPr>
                <w:b/>
                <w:bCs/>
                <w:sz w:val="18"/>
                <w:szCs w:val="18"/>
                <w:lang w:val="ro-MD"/>
              </w:rPr>
              <w:t>Observaţiile</w:t>
            </w:r>
            <w:proofErr w:type="spellEnd"/>
          </w:p>
        </w:tc>
      </w:tr>
      <w:tr w:rsidR="001A4DE8" w:rsidRPr="003F5B3C" w14:paraId="51A90453" w14:textId="77777777" w:rsidTr="003F5B3C">
        <w:trPr>
          <w:tblHeader/>
        </w:trPr>
        <w:tc>
          <w:tcPr>
            <w:tcW w:w="4253" w:type="dxa"/>
          </w:tcPr>
          <w:p w14:paraId="5DE61B1A" w14:textId="4655981F" w:rsidR="001A4DE8" w:rsidRPr="003F5B3C" w:rsidRDefault="001A4DE8" w:rsidP="005F3A73">
            <w:pPr>
              <w:pStyle w:val="BodyTextIndent"/>
              <w:spacing w:before="0"/>
              <w:ind w:firstLine="0"/>
              <w:rPr>
                <w:rFonts w:eastAsia="MS Mincho"/>
                <w:b/>
                <w:sz w:val="18"/>
                <w:szCs w:val="18"/>
                <w:lang w:val="ro-MD"/>
              </w:rPr>
            </w:pPr>
            <w:r w:rsidRPr="003F5B3C">
              <w:rPr>
                <w:rFonts w:eastAsia="MS Mincho"/>
                <w:b/>
                <w:sz w:val="18"/>
                <w:szCs w:val="18"/>
                <w:lang w:val="ro-MD"/>
              </w:rPr>
              <w:t>6</w:t>
            </w:r>
          </w:p>
        </w:tc>
        <w:tc>
          <w:tcPr>
            <w:tcW w:w="3685" w:type="dxa"/>
          </w:tcPr>
          <w:p w14:paraId="2DA2B260" w14:textId="6E83FECC" w:rsidR="001A4DE8" w:rsidRPr="003F5B3C" w:rsidRDefault="001A4DE8" w:rsidP="005F3A73">
            <w:pPr>
              <w:pStyle w:val="PlainText"/>
              <w:jc w:val="both"/>
              <w:rPr>
                <w:rFonts w:ascii="Times New Roman" w:eastAsia="MS Mincho" w:hAnsi="Times New Roman" w:cs="Times New Roman"/>
                <w:b/>
                <w:sz w:val="18"/>
                <w:szCs w:val="18"/>
                <w:lang w:val="ro-MD"/>
              </w:rPr>
            </w:pPr>
            <w:r w:rsidRPr="003F5B3C">
              <w:rPr>
                <w:rFonts w:ascii="Times New Roman" w:eastAsia="MS Mincho" w:hAnsi="Times New Roman" w:cs="Times New Roman"/>
                <w:b/>
                <w:sz w:val="18"/>
                <w:szCs w:val="18"/>
                <w:lang w:val="ro-MD"/>
              </w:rPr>
              <w:t>7</w:t>
            </w:r>
          </w:p>
        </w:tc>
        <w:tc>
          <w:tcPr>
            <w:tcW w:w="1229" w:type="dxa"/>
          </w:tcPr>
          <w:p w14:paraId="55A1C645" w14:textId="2ABE9273" w:rsidR="001A4DE8" w:rsidRPr="003F5B3C" w:rsidRDefault="001A4DE8" w:rsidP="005F3A73">
            <w:pPr>
              <w:jc w:val="both"/>
              <w:rPr>
                <w:b/>
                <w:sz w:val="18"/>
                <w:szCs w:val="18"/>
                <w:lang w:val="ro-MD"/>
              </w:rPr>
            </w:pPr>
            <w:r w:rsidRPr="003F5B3C">
              <w:rPr>
                <w:b/>
                <w:sz w:val="18"/>
                <w:szCs w:val="18"/>
                <w:lang w:val="ro-MD"/>
              </w:rPr>
              <w:t>8</w:t>
            </w:r>
          </w:p>
        </w:tc>
        <w:tc>
          <w:tcPr>
            <w:tcW w:w="5292" w:type="dxa"/>
            <w:tcBorders>
              <w:bottom w:val="single" w:sz="4" w:space="0" w:color="auto"/>
            </w:tcBorders>
          </w:tcPr>
          <w:p w14:paraId="49B7B2E6" w14:textId="1AAC2CCF" w:rsidR="001A4DE8" w:rsidRPr="003F5B3C" w:rsidRDefault="001A4DE8" w:rsidP="005F3A73">
            <w:pPr>
              <w:jc w:val="both"/>
              <w:rPr>
                <w:b/>
                <w:sz w:val="18"/>
                <w:szCs w:val="18"/>
                <w:lang w:val="ro-MD"/>
              </w:rPr>
            </w:pPr>
            <w:r w:rsidRPr="003F5B3C">
              <w:rPr>
                <w:b/>
                <w:sz w:val="18"/>
                <w:szCs w:val="18"/>
                <w:lang w:val="ro-MD"/>
              </w:rPr>
              <w:t>9</w:t>
            </w:r>
          </w:p>
        </w:tc>
      </w:tr>
      <w:tr w:rsidR="001A4DE8" w:rsidRPr="00433DC0" w14:paraId="47CE0C8A" w14:textId="77777777" w:rsidTr="003F5B3C">
        <w:tc>
          <w:tcPr>
            <w:tcW w:w="4253" w:type="dxa"/>
            <w:vAlign w:val="center"/>
          </w:tcPr>
          <w:p w14:paraId="17113D3D" w14:textId="4F04A708" w:rsidR="001A4DE8" w:rsidRPr="005D5F25" w:rsidRDefault="005D5F25" w:rsidP="009A5216">
            <w:pPr>
              <w:rPr>
                <w:b/>
                <w:bCs/>
                <w:sz w:val="18"/>
                <w:szCs w:val="18"/>
                <w:lang w:val="ro-MD"/>
              </w:rPr>
            </w:pPr>
            <w:r w:rsidRPr="005D5F25">
              <w:rPr>
                <w:b/>
                <w:bCs/>
                <w:sz w:val="18"/>
                <w:szCs w:val="18"/>
                <w:lang w:val="ro-MD"/>
              </w:rPr>
              <w:t>REGULAMENTUL DELEGAT (UE) 2015/585 AL COMISIEI</w:t>
            </w:r>
            <w:r w:rsidR="009A5216">
              <w:rPr>
                <w:b/>
                <w:bCs/>
                <w:sz w:val="18"/>
                <w:szCs w:val="18"/>
                <w:lang w:val="ro-MD"/>
              </w:rPr>
              <w:t xml:space="preserve"> </w:t>
            </w:r>
            <w:r w:rsidRPr="005D5F25">
              <w:rPr>
                <w:b/>
                <w:bCs/>
                <w:sz w:val="18"/>
                <w:szCs w:val="18"/>
                <w:lang w:val="ro-MD"/>
              </w:rPr>
              <w:t>din 18 decembrie 2014</w:t>
            </w:r>
            <w:r w:rsidR="009A5216">
              <w:rPr>
                <w:b/>
                <w:bCs/>
                <w:sz w:val="18"/>
                <w:szCs w:val="18"/>
                <w:lang w:val="ro-MD"/>
              </w:rPr>
              <w:t xml:space="preserve"> </w:t>
            </w:r>
            <w:r w:rsidRPr="005D5F25">
              <w:rPr>
                <w:b/>
                <w:bCs/>
                <w:sz w:val="18"/>
                <w:szCs w:val="18"/>
                <w:lang w:val="ro-MD"/>
              </w:rPr>
              <w:t xml:space="preserve">de completare a Regulamentului (UE) nr. 575/2013 al Parlamentului European și al Consiliului în ceea ce privește </w:t>
            </w:r>
            <w:r w:rsidR="009A5216">
              <w:rPr>
                <w:b/>
                <w:bCs/>
                <w:sz w:val="18"/>
                <w:szCs w:val="18"/>
                <w:lang w:val="ro-MD"/>
              </w:rPr>
              <w:t>s</w:t>
            </w:r>
            <w:r w:rsidRPr="005D5F25">
              <w:rPr>
                <w:b/>
                <w:bCs/>
                <w:sz w:val="18"/>
                <w:szCs w:val="18"/>
                <w:lang w:val="ro-MD"/>
              </w:rPr>
              <w:t>tandardele tehnice de reglementare pentru precizarea perioadelor de risc de marjă</w:t>
            </w:r>
            <w:r w:rsidR="001117A8" w:rsidRPr="001117A8">
              <w:rPr>
                <w:b/>
                <w:bCs/>
                <w:sz w:val="18"/>
                <w:szCs w:val="18"/>
                <w:lang w:val="en-US"/>
              </w:rPr>
              <w:t xml:space="preserve">, CELEX 02014R0183, </w:t>
            </w:r>
            <w:proofErr w:type="spellStart"/>
            <w:r w:rsidR="001117A8" w:rsidRPr="001117A8">
              <w:rPr>
                <w:b/>
                <w:bCs/>
                <w:sz w:val="18"/>
                <w:szCs w:val="18"/>
                <w:lang w:val="en-US"/>
              </w:rPr>
              <w:t>astfel</w:t>
            </w:r>
            <w:proofErr w:type="spellEnd"/>
            <w:r w:rsidR="001117A8" w:rsidRPr="001117A8">
              <w:rPr>
                <w:b/>
                <w:bCs/>
                <w:sz w:val="18"/>
                <w:szCs w:val="18"/>
                <w:lang w:val="en-US"/>
              </w:rPr>
              <w:t xml:space="preserve"> cum a </w:t>
            </w:r>
            <w:proofErr w:type="spellStart"/>
            <w:r w:rsidR="001117A8" w:rsidRPr="001117A8">
              <w:rPr>
                <w:b/>
                <w:bCs/>
                <w:sz w:val="18"/>
                <w:szCs w:val="18"/>
                <w:lang w:val="en-US"/>
              </w:rPr>
              <w:t>fost</w:t>
            </w:r>
            <w:proofErr w:type="spellEnd"/>
            <w:r w:rsidR="001117A8" w:rsidRPr="001117A8">
              <w:rPr>
                <w:b/>
                <w:bCs/>
                <w:sz w:val="18"/>
                <w:szCs w:val="18"/>
                <w:lang w:val="en-US"/>
              </w:rPr>
              <w:t xml:space="preserve"> </w:t>
            </w:r>
            <w:proofErr w:type="spellStart"/>
            <w:r w:rsidR="001117A8" w:rsidRPr="001117A8">
              <w:rPr>
                <w:b/>
                <w:bCs/>
                <w:sz w:val="18"/>
                <w:szCs w:val="18"/>
                <w:lang w:val="en-US"/>
              </w:rPr>
              <w:t>modificat</w:t>
            </w:r>
            <w:proofErr w:type="spellEnd"/>
            <w:r w:rsidR="001117A8" w:rsidRPr="001117A8">
              <w:rPr>
                <w:b/>
                <w:bCs/>
                <w:sz w:val="18"/>
                <w:szCs w:val="18"/>
                <w:lang w:val="en-US"/>
              </w:rPr>
              <w:t xml:space="preserve"> </w:t>
            </w:r>
            <w:proofErr w:type="spellStart"/>
            <w:r w:rsidR="001117A8" w:rsidRPr="001117A8">
              <w:rPr>
                <w:b/>
                <w:bCs/>
                <w:sz w:val="18"/>
                <w:szCs w:val="18"/>
                <w:lang w:val="en-US"/>
              </w:rPr>
              <w:t>prin</w:t>
            </w:r>
            <w:proofErr w:type="spellEnd"/>
            <w:r w:rsidR="001117A8" w:rsidRPr="001117A8">
              <w:rPr>
                <w:b/>
                <w:bCs/>
                <w:sz w:val="18"/>
                <w:szCs w:val="18"/>
                <w:lang w:val="en-US"/>
              </w:rPr>
              <w:t xml:space="preserve"> </w:t>
            </w:r>
            <w:proofErr w:type="spellStart"/>
            <w:r w:rsidR="001117A8" w:rsidRPr="001117A8">
              <w:rPr>
                <w:b/>
                <w:bCs/>
                <w:sz w:val="18"/>
                <w:szCs w:val="18"/>
                <w:lang w:val="en-US"/>
              </w:rPr>
              <w:t>Regulamentul</w:t>
            </w:r>
            <w:proofErr w:type="spellEnd"/>
            <w:r w:rsidR="001117A8" w:rsidRPr="001117A8">
              <w:rPr>
                <w:b/>
                <w:bCs/>
                <w:sz w:val="18"/>
                <w:szCs w:val="18"/>
                <w:lang w:val="en-US"/>
              </w:rPr>
              <w:t xml:space="preserve"> </w:t>
            </w:r>
            <w:proofErr w:type="spellStart"/>
            <w:r w:rsidR="001117A8" w:rsidRPr="001117A8">
              <w:rPr>
                <w:b/>
                <w:bCs/>
                <w:sz w:val="18"/>
                <w:szCs w:val="18"/>
                <w:lang w:val="en-US"/>
              </w:rPr>
              <w:t>delegat</w:t>
            </w:r>
            <w:proofErr w:type="spellEnd"/>
            <w:r w:rsidR="001117A8" w:rsidRPr="001117A8">
              <w:rPr>
                <w:b/>
                <w:bCs/>
                <w:sz w:val="18"/>
                <w:szCs w:val="18"/>
                <w:lang w:val="en-US"/>
              </w:rPr>
              <w:t xml:space="preserve"> (UE) 2022/954 al </w:t>
            </w:r>
            <w:proofErr w:type="spellStart"/>
            <w:r w:rsidR="001117A8" w:rsidRPr="001117A8">
              <w:rPr>
                <w:b/>
                <w:bCs/>
                <w:sz w:val="18"/>
                <w:szCs w:val="18"/>
                <w:lang w:val="en-US"/>
              </w:rPr>
              <w:t>comisiei</w:t>
            </w:r>
            <w:proofErr w:type="spellEnd"/>
            <w:r w:rsidR="001117A8" w:rsidRPr="001117A8">
              <w:rPr>
                <w:b/>
                <w:bCs/>
                <w:sz w:val="18"/>
                <w:szCs w:val="18"/>
                <w:lang w:val="en-US"/>
              </w:rPr>
              <w:t xml:space="preserve"> din 12 </w:t>
            </w:r>
            <w:proofErr w:type="spellStart"/>
            <w:r w:rsidR="001117A8" w:rsidRPr="001117A8">
              <w:rPr>
                <w:b/>
                <w:bCs/>
                <w:sz w:val="18"/>
                <w:szCs w:val="18"/>
                <w:lang w:val="en-US"/>
              </w:rPr>
              <w:t>mai</w:t>
            </w:r>
            <w:proofErr w:type="spellEnd"/>
            <w:r w:rsidR="001117A8" w:rsidRPr="001117A8">
              <w:rPr>
                <w:b/>
                <w:bCs/>
                <w:sz w:val="18"/>
                <w:szCs w:val="18"/>
                <w:lang w:val="en-US"/>
              </w:rPr>
              <w:t xml:space="preserve"> 2022</w:t>
            </w:r>
          </w:p>
        </w:tc>
        <w:tc>
          <w:tcPr>
            <w:tcW w:w="3685" w:type="dxa"/>
          </w:tcPr>
          <w:p w14:paraId="2A80CA2E" w14:textId="0918D783" w:rsidR="001A4DE8" w:rsidRPr="005D5F25" w:rsidRDefault="00AE5FCD" w:rsidP="00643F80">
            <w:pPr>
              <w:rPr>
                <w:b/>
                <w:sz w:val="18"/>
                <w:szCs w:val="18"/>
                <w:lang w:val="ro-MD"/>
              </w:rPr>
            </w:pPr>
            <w:r w:rsidRPr="00AE5FCD">
              <w:rPr>
                <w:b/>
                <w:bCs/>
                <w:sz w:val="18"/>
                <w:szCs w:val="18"/>
                <w:lang w:val="ro-MD"/>
              </w:rPr>
              <w:t>Proiectul Hotărârii Comitetului executiv al Băncii Naționale a Moldovei „</w:t>
            </w:r>
            <w:r w:rsidRPr="00AE5FCD">
              <w:rPr>
                <w:b/>
                <w:bCs/>
                <w:sz w:val="18"/>
                <w:szCs w:val="18"/>
                <w:lang w:val="ro-RO"/>
              </w:rPr>
              <w:t xml:space="preserve">Pentru </w:t>
            </w:r>
            <w:r w:rsidRPr="00AE5FCD">
              <w:rPr>
                <w:b/>
                <w:bCs/>
                <w:sz w:val="18"/>
                <w:szCs w:val="18"/>
                <w:lang w:val="ro-MD"/>
              </w:rPr>
              <w:t>modificarea</w:t>
            </w:r>
            <w:r w:rsidRPr="00AE5FCD">
              <w:rPr>
                <w:b/>
                <w:bCs/>
                <w:sz w:val="18"/>
                <w:szCs w:val="18"/>
                <w:lang w:val="ro-RO"/>
              </w:rPr>
              <w:t xml:space="preserve"> unor acte normative ale </w:t>
            </w:r>
            <w:r w:rsidRPr="00AE5FCD">
              <w:rPr>
                <w:b/>
                <w:bCs/>
                <w:sz w:val="18"/>
                <w:szCs w:val="18"/>
                <w:lang w:val="ro-MD"/>
              </w:rPr>
              <w:t xml:space="preserve">Băncii Naționale a Moldovei” </w:t>
            </w:r>
            <w:r w:rsidRPr="00AF7168">
              <w:rPr>
                <w:b/>
                <w:bCs/>
                <w:sz w:val="18"/>
                <w:szCs w:val="18"/>
                <w:lang w:val="ro-RO"/>
              </w:rPr>
              <w:t>(modificarea Regulamentului cu privire la tratamentul</w:t>
            </w:r>
            <w:r w:rsidRPr="00AE5FCD">
              <w:rPr>
                <w:b/>
                <w:bCs/>
                <w:sz w:val="18"/>
                <w:szCs w:val="18"/>
                <w:lang w:val="ro-RO"/>
              </w:rPr>
              <w:t xml:space="preserve"> </w:t>
            </w:r>
            <w:r w:rsidRPr="00AF7168">
              <w:rPr>
                <w:b/>
                <w:bCs/>
                <w:sz w:val="18"/>
                <w:szCs w:val="18"/>
                <w:lang w:val="ro-RO"/>
              </w:rPr>
              <w:t xml:space="preserve">riscului </w:t>
            </w:r>
            <w:r w:rsidRPr="00AE5FCD">
              <w:rPr>
                <w:b/>
                <w:bCs/>
                <w:sz w:val="18"/>
                <w:szCs w:val="18"/>
                <w:lang w:val="ro-MD"/>
              </w:rPr>
              <w:t xml:space="preserve">de credit al </w:t>
            </w:r>
            <w:proofErr w:type="spellStart"/>
            <w:r w:rsidRPr="00AE5FCD">
              <w:rPr>
                <w:b/>
                <w:bCs/>
                <w:sz w:val="18"/>
                <w:szCs w:val="18"/>
                <w:lang w:val="ro-MD"/>
              </w:rPr>
              <w:t>contrapărţii</w:t>
            </w:r>
            <w:proofErr w:type="spellEnd"/>
            <w:r w:rsidRPr="00AE5FCD">
              <w:rPr>
                <w:b/>
                <w:bCs/>
                <w:sz w:val="18"/>
                <w:szCs w:val="18"/>
                <w:lang w:val="ro-RO"/>
              </w:rPr>
              <w:t xml:space="preserve"> </w:t>
            </w:r>
            <w:r w:rsidRPr="00AF7168">
              <w:rPr>
                <w:b/>
                <w:bCs/>
                <w:sz w:val="18"/>
                <w:szCs w:val="18"/>
                <w:lang w:val="ro-RO"/>
              </w:rPr>
              <w:t xml:space="preserve">și </w:t>
            </w:r>
            <w:r w:rsidRPr="00AE5FCD">
              <w:rPr>
                <w:b/>
                <w:bCs/>
                <w:sz w:val="18"/>
                <w:szCs w:val="18"/>
                <w:lang w:val="ro-RO"/>
              </w:rPr>
              <w:t>Instrucțiunea cu privire la prezentarea de către bănci a rapoartelor COREP în scopuri de supraveghere</w:t>
            </w:r>
            <w:r w:rsidRPr="00AE5FCD">
              <w:rPr>
                <w:b/>
                <w:bCs/>
                <w:sz w:val="18"/>
                <w:szCs w:val="18"/>
                <w:lang w:val="ro-MD"/>
              </w:rPr>
              <w:t>)</w:t>
            </w:r>
          </w:p>
        </w:tc>
        <w:tc>
          <w:tcPr>
            <w:tcW w:w="1229" w:type="dxa"/>
          </w:tcPr>
          <w:p w14:paraId="29D9153D" w14:textId="77777777" w:rsidR="001A4DE8" w:rsidRPr="003F5B3C" w:rsidRDefault="001A4DE8" w:rsidP="00B93C1C">
            <w:pPr>
              <w:jc w:val="both"/>
              <w:rPr>
                <w:b/>
                <w:strike/>
                <w:sz w:val="18"/>
                <w:szCs w:val="18"/>
                <w:lang w:val="ro-MD"/>
              </w:rPr>
            </w:pPr>
          </w:p>
        </w:tc>
        <w:tc>
          <w:tcPr>
            <w:tcW w:w="5292" w:type="dxa"/>
            <w:tcBorders>
              <w:top w:val="single" w:sz="4" w:space="0" w:color="auto"/>
              <w:bottom w:val="single" w:sz="4" w:space="0" w:color="auto"/>
            </w:tcBorders>
          </w:tcPr>
          <w:p w14:paraId="470CB7BC" w14:textId="77777777" w:rsidR="001A4DE8" w:rsidRPr="003F5B3C" w:rsidRDefault="001A4DE8" w:rsidP="00B93C1C">
            <w:pPr>
              <w:jc w:val="both"/>
              <w:rPr>
                <w:strike/>
                <w:sz w:val="18"/>
                <w:szCs w:val="18"/>
                <w:lang w:val="ro-MD"/>
              </w:rPr>
            </w:pPr>
          </w:p>
        </w:tc>
      </w:tr>
      <w:tr w:rsidR="001A4DE8" w:rsidRPr="005D5F25" w14:paraId="61B5325F" w14:textId="77777777" w:rsidTr="003F5B3C">
        <w:trPr>
          <w:trHeight w:val="918"/>
        </w:trPr>
        <w:tc>
          <w:tcPr>
            <w:tcW w:w="4253" w:type="dxa"/>
          </w:tcPr>
          <w:p w14:paraId="7784028F" w14:textId="77777777" w:rsidR="00E57169" w:rsidRPr="00B266F4" w:rsidRDefault="00E57169" w:rsidP="00B266F4">
            <w:pPr>
              <w:pStyle w:val="CM4"/>
              <w:spacing w:after="120"/>
              <w:jc w:val="both"/>
              <w:rPr>
                <w:rFonts w:ascii="Times New Roman" w:hAnsi="Times New Roman"/>
                <w:bCs/>
                <w:i/>
                <w:iCs/>
                <w:sz w:val="18"/>
                <w:szCs w:val="18"/>
                <w:lang w:val="ro-MD"/>
              </w:rPr>
            </w:pPr>
            <w:r w:rsidRPr="00B266F4">
              <w:rPr>
                <w:rFonts w:ascii="Times New Roman" w:hAnsi="Times New Roman"/>
                <w:bCs/>
                <w:i/>
                <w:iCs/>
                <w:sz w:val="18"/>
                <w:szCs w:val="18"/>
                <w:lang w:val="ro-MD"/>
              </w:rPr>
              <w:t>Articolul 1</w:t>
            </w:r>
          </w:p>
          <w:p w14:paraId="531B0CAA" w14:textId="77777777" w:rsidR="00B266F4" w:rsidRPr="00B266F4" w:rsidRDefault="00B266F4" w:rsidP="00B266F4">
            <w:pPr>
              <w:pStyle w:val="CM4"/>
              <w:spacing w:after="120"/>
              <w:jc w:val="both"/>
              <w:rPr>
                <w:rFonts w:ascii="Times New Roman" w:hAnsi="Times New Roman"/>
                <w:bCs/>
                <w:sz w:val="18"/>
                <w:szCs w:val="18"/>
                <w:lang w:val="ro-MD"/>
              </w:rPr>
            </w:pPr>
            <w:r w:rsidRPr="00B266F4">
              <w:rPr>
                <w:rFonts w:ascii="Times New Roman" w:hAnsi="Times New Roman"/>
                <w:bCs/>
                <w:sz w:val="18"/>
                <w:szCs w:val="18"/>
                <w:lang w:val="ro-MD"/>
              </w:rPr>
              <w:t>(1)   Perioadele de risc de marjă (MPOR) aferente unui set de compensare pe care instituțiile le pot utiliza în sensul articolului 304 alineatele (3) și (4) din Regulamentul (UE) nr. 575/2013 se determină în conformitate cu alineatele (2) și (3) din prezentul articol.</w:t>
            </w:r>
          </w:p>
          <w:p w14:paraId="4FC1C7CC" w14:textId="77777777" w:rsidR="00B266F4" w:rsidRDefault="00B266F4" w:rsidP="00B266F4">
            <w:pPr>
              <w:pStyle w:val="CM4"/>
              <w:spacing w:after="120"/>
              <w:jc w:val="both"/>
              <w:rPr>
                <w:rFonts w:ascii="Times New Roman" w:hAnsi="Times New Roman"/>
                <w:bCs/>
                <w:sz w:val="18"/>
                <w:szCs w:val="18"/>
                <w:lang w:val="ro-MD"/>
              </w:rPr>
            </w:pPr>
            <w:r w:rsidRPr="00B266F4">
              <w:rPr>
                <w:rFonts w:ascii="Times New Roman" w:hAnsi="Times New Roman"/>
                <w:bCs/>
                <w:sz w:val="18"/>
                <w:szCs w:val="18"/>
                <w:lang w:val="ro-MD"/>
              </w:rPr>
              <w:t xml:space="preserve">(2)   În cazul în care setul de compensare relevant include tranzacții compensate cu o contrapartidă centrală calificată, astfel cum este definită la articolul 4 alineatul (1) punctul 88 din Regulamentul (UE) nr. 575/2013, MPOR pe care instituțiile le pot utiliza corespund </w:t>
            </w:r>
            <w:r w:rsidRPr="00B266F4">
              <w:rPr>
                <w:rFonts w:ascii="Times New Roman" w:hAnsi="Times New Roman"/>
                <w:bCs/>
                <w:sz w:val="18"/>
                <w:szCs w:val="18"/>
                <w:lang w:val="ro-MD"/>
              </w:rPr>
              <w:lastRenderedPageBreak/>
              <w:t>perioadei cu durata mai mare dintre cele enumerate în continuare:</w:t>
            </w:r>
          </w:p>
          <w:p w14:paraId="5E5D81C5" w14:textId="77777777" w:rsidR="00B266F4" w:rsidRPr="00B266F4" w:rsidRDefault="00B266F4" w:rsidP="00B266F4">
            <w:pPr>
              <w:rPr>
                <w:sz w:val="18"/>
                <w:szCs w:val="18"/>
                <w:lang w:val="en-US"/>
              </w:rPr>
            </w:pPr>
            <w:r w:rsidRPr="00B266F4">
              <w:rPr>
                <w:sz w:val="18"/>
                <w:szCs w:val="18"/>
                <w:lang w:val="en-US"/>
              </w:rPr>
              <w:t xml:space="preserve">(a) </w:t>
            </w:r>
            <w:proofErr w:type="spellStart"/>
            <w:r w:rsidRPr="00B266F4">
              <w:rPr>
                <w:sz w:val="18"/>
                <w:szCs w:val="18"/>
                <w:lang w:val="en-US"/>
              </w:rPr>
              <w:t>cinci</w:t>
            </w:r>
            <w:proofErr w:type="spellEnd"/>
            <w:r w:rsidRPr="00B266F4">
              <w:rPr>
                <w:sz w:val="18"/>
                <w:szCs w:val="18"/>
                <w:lang w:val="en-US"/>
              </w:rPr>
              <w:t xml:space="preserve"> </w:t>
            </w:r>
            <w:proofErr w:type="spellStart"/>
            <w:r w:rsidRPr="00B266F4">
              <w:rPr>
                <w:sz w:val="18"/>
                <w:szCs w:val="18"/>
                <w:lang w:val="en-US"/>
              </w:rPr>
              <w:t>zile</w:t>
            </w:r>
            <w:proofErr w:type="spellEnd"/>
            <w:r w:rsidRPr="00B266F4">
              <w:rPr>
                <w:sz w:val="18"/>
                <w:szCs w:val="18"/>
                <w:lang w:val="en-US"/>
              </w:rPr>
              <w:t xml:space="preserve"> </w:t>
            </w:r>
            <w:proofErr w:type="spellStart"/>
            <w:proofErr w:type="gramStart"/>
            <w:r w:rsidRPr="00B266F4">
              <w:rPr>
                <w:sz w:val="18"/>
                <w:szCs w:val="18"/>
                <w:lang w:val="en-US"/>
              </w:rPr>
              <w:t>lucrătoare</w:t>
            </w:r>
            <w:proofErr w:type="spellEnd"/>
            <w:r w:rsidRPr="00B266F4">
              <w:rPr>
                <w:sz w:val="18"/>
                <w:szCs w:val="18"/>
                <w:lang w:val="en-US"/>
              </w:rPr>
              <w:t>;</w:t>
            </w:r>
            <w:proofErr w:type="gramEnd"/>
          </w:p>
          <w:p w14:paraId="44485B6D" w14:textId="77777777" w:rsidR="00B266F4" w:rsidRPr="00B266F4" w:rsidRDefault="00B266F4" w:rsidP="00B266F4">
            <w:pPr>
              <w:rPr>
                <w:sz w:val="18"/>
                <w:szCs w:val="18"/>
                <w:lang w:val="en-US"/>
              </w:rPr>
            </w:pPr>
            <w:r w:rsidRPr="00B266F4">
              <w:rPr>
                <w:sz w:val="18"/>
                <w:szCs w:val="18"/>
                <w:lang w:val="en-US"/>
              </w:rPr>
              <w:t xml:space="preserve">(b) </w:t>
            </w:r>
            <w:proofErr w:type="spellStart"/>
            <w:r w:rsidRPr="00B266F4">
              <w:rPr>
                <w:sz w:val="18"/>
                <w:szCs w:val="18"/>
                <w:lang w:val="en-US"/>
              </w:rPr>
              <w:t>cea</w:t>
            </w:r>
            <w:proofErr w:type="spellEnd"/>
            <w:r w:rsidRPr="00B266F4">
              <w:rPr>
                <w:sz w:val="18"/>
                <w:szCs w:val="18"/>
                <w:lang w:val="en-US"/>
              </w:rPr>
              <w:t xml:space="preserve"> </w:t>
            </w:r>
            <w:proofErr w:type="spellStart"/>
            <w:r w:rsidRPr="00B266F4">
              <w:rPr>
                <w:sz w:val="18"/>
                <w:szCs w:val="18"/>
                <w:lang w:val="en-US"/>
              </w:rPr>
              <w:t>mai</w:t>
            </w:r>
            <w:proofErr w:type="spellEnd"/>
            <w:r w:rsidRPr="00B266F4">
              <w:rPr>
                <w:sz w:val="18"/>
                <w:szCs w:val="18"/>
                <w:lang w:val="en-US"/>
              </w:rPr>
              <w:t xml:space="preserve"> </w:t>
            </w:r>
            <w:proofErr w:type="spellStart"/>
            <w:r w:rsidRPr="00B266F4">
              <w:rPr>
                <w:sz w:val="18"/>
                <w:szCs w:val="18"/>
                <w:lang w:val="en-US"/>
              </w:rPr>
              <w:t>lungă</w:t>
            </w:r>
            <w:proofErr w:type="spellEnd"/>
            <w:r w:rsidRPr="00B266F4">
              <w:rPr>
                <w:sz w:val="18"/>
                <w:szCs w:val="18"/>
                <w:lang w:val="en-US"/>
              </w:rPr>
              <w:t xml:space="preserve"> </w:t>
            </w:r>
            <w:proofErr w:type="spellStart"/>
            <w:r w:rsidRPr="00B266F4">
              <w:rPr>
                <w:sz w:val="18"/>
                <w:szCs w:val="18"/>
                <w:lang w:val="en-US"/>
              </w:rPr>
              <w:t>perioadă</w:t>
            </w:r>
            <w:proofErr w:type="spellEnd"/>
            <w:r w:rsidRPr="00B266F4">
              <w:rPr>
                <w:sz w:val="18"/>
                <w:szCs w:val="18"/>
                <w:lang w:val="en-US"/>
              </w:rPr>
              <w:t xml:space="preserve"> de </w:t>
            </w:r>
            <w:proofErr w:type="spellStart"/>
            <w:r w:rsidRPr="00B266F4">
              <w:rPr>
                <w:sz w:val="18"/>
                <w:szCs w:val="18"/>
                <w:lang w:val="en-US"/>
              </w:rPr>
              <w:t>lichidare</w:t>
            </w:r>
            <w:proofErr w:type="spellEnd"/>
            <w:r w:rsidRPr="00B266F4">
              <w:rPr>
                <w:sz w:val="18"/>
                <w:szCs w:val="18"/>
                <w:lang w:val="en-US"/>
              </w:rPr>
              <w:t xml:space="preserve"> a </w:t>
            </w:r>
            <w:proofErr w:type="spellStart"/>
            <w:r w:rsidRPr="00B266F4">
              <w:rPr>
                <w:sz w:val="18"/>
                <w:szCs w:val="18"/>
                <w:lang w:val="en-US"/>
              </w:rPr>
              <w:t>contractelor</w:t>
            </w:r>
            <w:proofErr w:type="spellEnd"/>
            <w:r w:rsidRPr="00B266F4">
              <w:rPr>
                <w:sz w:val="18"/>
                <w:szCs w:val="18"/>
                <w:lang w:val="en-US"/>
              </w:rPr>
              <w:t xml:space="preserve"> </w:t>
            </w:r>
            <w:proofErr w:type="spellStart"/>
            <w:r w:rsidRPr="00B266F4">
              <w:rPr>
                <w:sz w:val="18"/>
                <w:szCs w:val="18"/>
                <w:lang w:val="en-US"/>
              </w:rPr>
              <w:t>sau</w:t>
            </w:r>
            <w:proofErr w:type="spellEnd"/>
            <w:r w:rsidRPr="00B266F4">
              <w:rPr>
                <w:sz w:val="18"/>
                <w:szCs w:val="18"/>
                <w:lang w:val="en-US"/>
              </w:rPr>
              <w:t xml:space="preserve"> a </w:t>
            </w:r>
            <w:proofErr w:type="spellStart"/>
            <w:r w:rsidRPr="00B266F4">
              <w:rPr>
                <w:sz w:val="18"/>
                <w:szCs w:val="18"/>
                <w:lang w:val="en-US"/>
              </w:rPr>
              <w:t>tranzacțiilor</w:t>
            </w:r>
            <w:proofErr w:type="spellEnd"/>
            <w:r w:rsidRPr="00B266F4">
              <w:rPr>
                <w:sz w:val="18"/>
                <w:szCs w:val="18"/>
                <w:lang w:val="en-US"/>
              </w:rPr>
              <w:t xml:space="preserve"> </w:t>
            </w:r>
            <w:proofErr w:type="spellStart"/>
            <w:r w:rsidRPr="00B266F4">
              <w:rPr>
                <w:sz w:val="18"/>
                <w:szCs w:val="18"/>
                <w:lang w:val="en-US"/>
              </w:rPr>
              <w:t>incluse</w:t>
            </w:r>
            <w:proofErr w:type="spellEnd"/>
            <w:r w:rsidRPr="00B266F4">
              <w:rPr>
                <w:sz w:val="18"/>
                <w:szCs w:val="18"/>
                <w:lang w:val="en-US"/>
              </w:rPr>
              <w:t xml:space="preserve"> </w:t>
            </w:r>
            <w:proofErr w:type="spellStart"/>
            <w:r w:rsidRPr="00B266F4">
              <w:rPr>
                <w:sz w:val="18"/>
                <w:szCs w:val="18"/>
                <w:lang w:val="en-US"/>
              </w:rPr>
              <w:t>în</w:t>
            </w:r>
            <w:proofErr w:type="spellEnd"/>
            <w:r w:rsidRPr="00B266F4">
              <w:rPr>
                <w:sz w:val="18"/>
                <w:szCs w:val="18"/>
                <w:lang w:val="en-US"/>
              </w:rPr>
              <w:t xml:space="preserve"> </w:t>
            </w:r>
            <w:proofErr w:type="spellStart"/>
            <w:r w:rsidRPr="00B266F4">
              <w:rPr>
                <w:sz w:val="18"/>
                <w:szCs w:val="18"/>
                <w:lang w:val="en-US"/>
              </w:rPr>
              <w:t>setul</w:t>
            </w:r>
            <w:proofErr w:type="spellEnd"/>
            <w:r w:rsidRPr="00B266F4">
              <w:rPr>
                <w:sz w:val="18"/>
                <w:szCs w:val="18"/>
                <w:lang w:val="en-US"/>
              </w:rPr>
              <w:t xml:space="preserve"> de </w:t>
            </w:r>
            <w:proofErr w:type="spellStart"/>
            <w:r w:rsidRPr="00B266F4">
              <w:rPr>
                <w:sz w:val="18"/>
                <w:szCs w:val="18"/>
                <w:lang w:val="en-US"/>
              </w:rPr>
              <w:t>compensare</w:t>
            </w:r>
            <w:proofErr w:type="spellEnd"/>
            <w:r w:rsidRPr="00B266F4">
              <w:rPr>
                <w:sz w:val="18"/>
                <w:szCs w:val="18"/>
                <w:lang w:val="en-US"/>
              </w:rPr>
              <w:t xml:space="preserve">, </w:t>
            </w:r>
            <w:proofErr w:type="spellStart"/>
            <w:r w:rsidRPr="00B266F4">
              <w:rPr>
                <w:sz w:val="18"/>
                <w:szCs w:val="18"/>
                <w:lang w:val="en-US"/>
              </w:rPr>
              <w:t>astfel</w:t>
            </w:r>
            <w:proofErr w:type="spellEnd"/>
            <w:r w:rsidRPr="00B266F4">
              <w:rPr>
                <w:sz w:val="18"/>
                <w:szCs w:val="18"/>
                <w:lang w:val="en-US"/>
              </w:rPr>
              <w:t xml:space="preserve"> cum a </w:t>
            </w:r>
            <w:proofErr w:type="spellStart"/>
            <w:r w:rsidRPr="00B266F4">
              <w:rPr>
                <w:sz w:val="18"/>
                <w:szCs w:val="18"/>
                <w:lang w:val="en-US"/>
              </w:rPr>
              <w:t>fost</w:t>
            </w:r>
            <w:proofErr w:type="spellEnd"/>
            <w:r w:rsidRPr="00B266F4">
              <w:rPr>
                <w:sz w:val="18"/>
                <w:szCs w:val="18"/>
                <w:lang w:val="en-US"/>
              </w:rPr>
              <w:t xml:space="preserve"> </w:t>
            </w:r>
            <w:proofErr w:type="spellStart"/>
            <w:r w:rsidRPr="00B266F4">
              <w:rPr>
                <w:sz w:val="18"/>
                <w:szCs w:val="18"/>
                <w:lang w:val="en-US"/>
              </w:rPr>
              <w:t>făcută</w:t>
            </w:r>
            <w:proofErr w:type="spellEnd"/>
            <w:r w:rsidRPr="00B266F4">
              <w:rPr>
                <w:sz w:val="18"/>
                <w:szCs w:val="18"/>
                <w:lang w:val="en-US"/>
              </w:rPr>
              <w:t xml:space="preserve"> </w:t>
            </w:r>
            <w:proofErr w:type="spellStart"/>
            <w:r w:rsidRPr="00B266F4">
              <w:rPr>
                <w:sz w:val="18"/>
                <w:szCs w:val="18"/>
                <w:lang w:val="en-US"/>
              </w:rPr>
              <w:t>publică</w:t>
            </w:r>
            <w:proofErr w:type="spellEnd"/>
            <w:r w:rsidRPr="00B266F4">
              <w:rPr>
                <w:sz w:val="18"/>
                <w:szCs w:val="18"/>
                <w:lang w:val="en-US"/>
              </w:rPr>
              <w:t xml:space="preserve"> </w:t>
            </w:r>
            <w:proofErr w:type="spellStart"/>
            <w:r w:rsidRPr="00B266F4">
              <w:rPr>
                <w:sz w:val="18"/>
                <w:szCs w:val="18"/>
                <w:lang w:val="en-US"/>
              </w:rPr>
              <w:t>în</w:t>
            </w:r>
            <w:proofErr w:type="spellEnd"/>
            <w:r w:rsidRPr="00B266F4">
              <w:rPr>
                <w:sz w:val="18"/>
                <w:szCs w:val="18"/>
                <w:lang w:val="en-US"/>
              </w:rPr>
              <w:t xml:space="preserve"> </w:t>
            </w:r>
            <w:proofErr w:type="spellStart"/>
            <w:r w:rsidRPr="00B266F4">
              <w:rPr>
                <w:sz w:val="18"/>
                <w:szCs w:val="18"/>
                <w:lang w:val="en-US"/>
              </w:rPr>
              <w:t>conformitate</w:t>
            </w:r>
            <w:proofErr w:type="spellEnd"/>
            <w:r w:rsidRPr="00B266F4">
              <w:rPr>
                <w:sz w:val="18"/>
                <w:szCs w:val="18"/>
                <w:lang w:val="en-US"/>
              </w:rPr>
              <w:t xml:space="preserve"> cu </w:t>
            </w:r>
            <w:proofErr w:type="spellStart"/>
            <w:r w:rsidRPr="00B266F4">
              <w:rPr>
                <w:sz w:val="18"/>
                <w:szCs w:val="18"/>
                <w:lang w:val="en-US"/>
              </w:rPr>
              <w:t>articolul</w:t>
            </w:r>
            <w:proofErr w:type="spellEnd"/>
            <w:r w:rsidRPr="00B266F4">
              <w:rPr>
                <w:sz w:val="18"/>
                <w:szCs w:val="18"/>
                <w:lang w:val="en-US"/>
              </w:rPr>
              <w:t xml:space="preserve"> 10 </w:t>
            </w:r>
            <w:proofErr w:type="spellStart"/>
            <w:r w:rsidRPr="00B266F4">
              <w:rPr>
                <w:sz w:val="18"/>
                <w:szCs w:val="18"/>
                <w:lang w:val="en-US"/>
              </w:rPr>
              <w:t>alineatul</w:t>
            </w:r>
            <w:proofErr w:type="spellEnd"/>
            <w:r w:rsidRPr="00B266F4">
              <w:rPr>
                <w:sz w:val="18"/>
                <w:szCs w:val="18"/>
                <w:lang w:val="en-US"/>
              </w:rPr>
              <w:t xml:space="preserve"> (1) </w:t>
            </w:r>
            <w:proofErr w:type="spellStart"/>
            <w:r w:rsidRPr="00B266F4">
              <w:rPr>
                <w:sz w:val="18"/>
                <w:szCs w:val="18"/>
                <w:lang w:val="en-US"/>
              </w:rPr>
              <w:t>litera</w:t>
            </w:r>
            <w:proofErr w:type="spellEnd"/>
            <w:r w:rsidRPr="00B266F4">
              <w:rPr>
                <w:sz w:val="18"/>
                <w:szCs w:val="18"/>
                <w:lang w:val="en-US"/>
              </w:rPr>
              <w:t xml:space="preserve"> (b) </w:t>
            </w:r>
            <w:proofErr w:type="spellStart"/>
            <w:r w:rsidRPr="00B266F4">
              <w:rPr>
                <w:sz w:val="18"/>
                <w:szCs w:val="18"/>
                <w:lang w:val="en-US"/>
              </w:rPr>
              <w:t>punctul</w:t>
            </w:r>
            <w:proofErr w:type="spellEnd"/>
            <w:r w:rsidRPr="00B266F4">
              <w:rPr>
                <w:sz w:val="18"/>
                <w:szCs w:val="18"/>
                <w:lang w:val="en-US"/>
              </w:rPr>
              <w:t xml:space="preserve"> (vi) din </w:t>
            </w:r>
            <w:proofErr w:type="spellStart"/>
            <w:r w:rsidRPr="00B266F4">
              <w:rPr>
                <w:sz w:val="18"/>
                <w:szCs w:val="18"/>
                <w:lang w:val="en-US"/>
              </w:rPr>
              <w:t>Regulamentul</w:t>
            </w:r>
            <w:proofErr w:type="spellEnd"/>
            <w:r w:rsidRPr="00B266F4">
              <w:rPr>
                <w:sz w:val="18"/>
                <w:szCs w:val="18"/>
                <w:lang w:val="en-US"/>
              </w:rPr>
              <w:t xml:space="preserve"> </w:t>
            </w:r>
            <w:proofErr w:type="spellStart"/>
            <w:r w:rsidRPr="00B266F4">
              <w:rPr>
                <w:sz w:val="18"/>
                <w:szCs w:val="18"/>
                <w:lang w:val="en-US"/>
              </w:rPr>
              <w:t>delegat</w:t>
            </w:r>
            <w:proofErr w:type="spellEnd"/>
            <w:r w:rsidRPr="00B266F4">
              <w:rPr>
                <w:sz w:val="18"/>
                <w:szCs w:val="18"/>
                <w:lang w:val="en-US"/>
              </w:rPr>
              <w:t xml:space="preserve"> (UE) nr. 153/2013 al </w:t>
            </w:r>
            <w:proofErr w:type="spellStart"/>
            <w:r w:rsidRPr="00B266F4">
              <w:rPr>
                <w:sz w:val="18"/>
                <w:szCs w:val="18"/>
                <w:lang w:val="en-US"/>
              </w:rPr>
              <w:t>Comisiei</w:t>
            </w:r>
            <w:proofErr w:type="spellEnd"/>
            <w:r w:rsidRPr="00B266F4">
              <w:rPr>
                <w:sz w:val="18"/>
                <w:szCs w:val="18"/>
                <w:lang w:val="en-US"/>
              </w:rPr>
              <w:t xml:space="preserve"> (3) de </w:t>
            </w:r>
            <w:proofErr w:type="spellStart"/>
            <w:r w:rsidRPr="00B266F4">
              <w:rPr>
                <w:sz w:val="18"/>
                <w:szCs w:val="18"/>
                <w:lang w:val="en-US"/>
              </w:rPr>
              <w:t>către</w:t>
            </w:r>
            <w:proofErr w:type="spellEnd"/>
            <w:r w:rsidRPr="00B266F4">
              <w:rPr>
                <w:sz w:val="18"/>
                <w:szCs w:val="18"/>
                <w:lang w:val="en-US"/>
              </w:rPr>
              <w:t xml:space="preserve"> </w:t>
            </w:r>
            <w:proofErr w:type="spellStart"/>
            <w:r w:rsidRPr="00B266F4">
              <w:rPr>
                <w:sz w:val="18"/>
                <w:szCs w:val="18"/>
                <w:lang w:val="en-US"/>
              </w:rPr>
              <w:t>contrapartida</w:t>
            </w:r>
            <w:proofErr w:type="spellEnd"/>
            <w:r w:rsidRPr="00B266F4">
              <w:rPr>
                <w:sz w:val="18"/>
                <w:szCs w:val="18"/>
                <w:lang w:val="en-US"/>
              </w:rPr>
              <w:t xml:space="preserve"> </w:t>
            </w:r>
            <w:proofErr w:type="spellStart"/>
            <w:r w:rsidRPr="00B266F4">
              <w:rPr>
                <w:sz w:val="18"/>
                <w:szCs w:val="18"/>
                <w:lang w:val="en-US"/>
              </w:rPr>
              <w:t>centrală</w:t>
            </w:r>
            <w:proofErr w:type="spellEnd"/>
            <w:r w:rsidRPr="00B266F4">
              <w:rPr>
                <w:sz w:val="18"/>
                <w:szCs w:val="18"/>
                <w:lang w:val="en-US"/>
              </w:rPr>
              <w:t xml:space="preserve"> </w:t>
            </w:r>
            <w:proofErr w:type="spellStart"/>
            <w:r w:rsidRPr="00B266F4">
              <w:rPr>
                <w:sz w:val="18"/>
                <w:szCs w:val="18"/>
                <w:lang w:val="en-US"/>
              </w:rPr>
              <w:t>calificată</w:t>
            </w:r>
            <w:proofErr w:type="spellEnd"/>
            <w:r w:rsidRPr="00B266F4">
              <w:rPr>
                <w:sz w:val="18"/>
                <w:szCs w:val="18"/>
                <w:lang w:val="en-US"/>
              </w:rPr>
              <w:t xml:space="preserve"> cu care sunt compensate </w:t>
            </w:r>
            <w:proofErr w:type="spellStart"/>
            <w:r w:rsidRPr="00B266F4">
              <w:rPr>
                <w:sz w:val="18"/>
                <w:szCs w:val="18"/>
                <w:lang w:val="en-US"/>
              </w:rPr>
              <w:t>respectivele</w:t>
            </w:r>
            <w:proofErr w:type="spellEnd"/>
            <w:r w:rsidRPr="00B266F4">
              <w:rPr>
                <w:sz w:val="18"/>
                <w:szCs w:val="18"/>
                <w:lang w:val="en-US"/>
              </w:rPr>
              <w:t xml:space="preserve"> </w:t>
            </w:r>
            <w:proofErr w:type="spellStart"/>
            <w:r w:rsidRPr="00B266F4">
              <w:rPr>
                <w:sz w:val="18"/>
                <w:szCs w:val="18"/>
                <w:lang w:val="en-US"/>
              </w:rPr>
              <w:t>contracte</w:t>
            </w:r>
            <w:proofErr w:type="spellEnd"/>
            <w:r w:rsidRPr="00B266F4">
              <w:rPr>
                <w:sz w:val="18"/>
                <w:szCs w:val="18"/>
                <w:lang w:val="en-US"/>
              </w:rPr>
              <w:t xml:space="preserve"> </w:t>
            </w:r>
            <w:proofErr w:type="spellStart"/>
            <w:r w:rsidRPr="00B266F4">
              <w:rPr>
                <w:sz w:val="18"/>
                <w:szCs w:val="18"/>
                <w:lang w:val="en-US"/>
              </w:rPr>
              <w:t>sau</w:t>
            </w:r>
            <w:proofErr w:type="spellEnd"/>
            <w:r w:rsidRPr="00B266F4">
              <w:rPr>
                <w:sz w:val="18"/>
                <w:szCs w:val="18"/>
                <w:lang w:val="en-US"/>
              </w:rPr>
              <w:t xml:space="preserve"> </w:t>
            </w:r>
            <w:proofErr w:type="spellStart"/>
            <w:r w:rsidRPr="00B266F4">
              <w:rPr>
                <w:sz w:val="18"/>
                <w:szCs w:val="18"/>
                <w:lang w:val="en-US"/>
              </w:rPr>
              <w:t>tranzacții</w:t>
            </w:r>
            <w:proofErr w:type="spellEnd"/>
            <w:r w:rsidRPr="00B266F4">
              <w:rPr>
                <w:sz w:val="18"/>
                <w:szCs w:val="18"/>
                <w:lang w:val="en-US"/>
              </w:rPr>
              <w:t>.</w:t>
            </w:r>
          </w:p>
          <w:p w14:paraId="536A3C58" w14:textId="77777777" w:rsidR="00B266F4" w:rsidRPr="00B266F4" w:rsidRDefault="00B266F4" w:rsidP="00B266F4">
            <w:pPr>
              <w:pStyle w:val="CM4"/>
              <w:spacing w:after="120"/>
              <w:jc w:val="both"/>
              <w:rPr>
                <w:rFonts w:ascii="Times New Roman" w:hAnsi="Times New Roman"/>
                <w:bCs/>
                <w:sz w:val="18"/>
                <w:szCs w:val="18"/>
                <w:lang w:val="ro-MD"/>
              </w:rPr>
            </w:pPr>
            <w:r w:rsidRPr="00B266F4">
              <w:rPr>
                <w:rFonts w:ascii="Times New Roman" w:hAnsi="Times New Roman"/>
                <w:bCs/>
                <w:sz w:val="18"/>
                <w:szCs w:val="18"/>
                <w:lang w:val="ro-MD"/>
              </w:rPr>
              <w:t>În sensul literei (b) primul paragraf, în cazul în care perioada de lichidare făcută publică include o perioadă suplimentară pentru novația pozițiilor unui membru compensator care își respectă obligațiile, perioada care trebuie să fie utilizată de instituții ca MPOR exclude respectiva perioadă suplimentară.</w:t>
            </w:r>
          </w:p>
          <w:p w14:paraId="09E99B9D" w14:textId="4CA1438C" w:rsidR="001A4DE8" w:rsidRPr="00B266F4" w:rsidRDefault="00B266F4" w:rsidP="00B266F4">
            <w:pPr>
              <w:pStyle w:val="CM4"/>
              <w:spacing w:after="120"/>
              <w:jc w:val="both"/>
              <w:rPr>
                <w:rFonts w:ascii="Times New Roman" w:hAnsi="Times New Roman"/>
                <w:bCs/>
                <w:sz w:val="18"/>
                <w:szCs w:val="18"/>
                <w:lang w:val="ro-MD"/>
              </w:rPr>
            </w:pPr>
            <w:r w:rsidRPr="00B266F4">
              <w:rPr>
                <w:rFonts w:ascii="Times New Roman" w:hAnsi="Times New Roman"/>
                <w:bCs/>
                <w:sz w:val="18"/>
                <w:szCs w:val="18"/>
                <w:lang w:val="ro-MD"/>
              </w:rPr>
              <w:t>(3)   În cazul în care setul de compensare relevant include tranzacții care nu sunt compensate cu o contrapartidă centrală calificată, astfel cum este definită la articolul 4 alineatul (1) punctul 88 din Regulamentul (UE) nr. 575/2013, MPOR pe care instituțiile le pot utiliza au o durată de cel puțin 10 zile lucrătoare.</w:t>
            </w:r>
          </w:p>
        </w:tc>
        <w:tc>
          <w:tcPr>
            <w:tcW w:w="3685" w:type="dxa"/>
          </w:tcPr>
          <w:p w14:paraId="6CEB9B47" w14:textId="77777777" w:rsidR="00B266F4" w:rsidRPr="00B266F4" w:rsidRDefault="00B266F4" w:rsidP="00B266F4">
            <w:pPr>
              <w:jc w:val="right"/>
              <w:rPr>
                <w:sz w:val="18"/>
                <w:szCs w:val="18"/>
                <w:lang w:val="en-US" w:eastAsia="ro-MD"/>
              </w:rPr>
            </w:pPr>
            <w:proofErr w:type="spellStart"/>
            <w:r w:rsidRPr="00B266F4">
              <w:rPr>
                <w:i/>
                <w:iCs/>
                <w:sz w:val="18"/>
                <w:szCs w:val="18"/>
                <w:lang w:val="en-US" w:eastAsia="ro-MD"/>
              </w:rPr>
              <w:lastRenderedPageBreak/>
              <w:t>Anexa</w:t>
            </w:r>
            <w:proofErr w:type="spellEnd"/>
            <w:r w:rsidRPr="00B266F4">
              <w:rPr>
                <w:i/>
                <w:iCs/>
                <w:sz w:val="18"/>
                <w:szCs w:val="18"/>
                <w:lang w:val="en-US" w:eastAsia="ro-MD"/>
              </w:rPr>
              <w:t xml:space="preserve"> 3</w:t>
            </w:r>
          </w:p>
          <w:p w14:paraId="25B0ED74" w14:textId="77777777" w:rsidR="00B266F4" w:rsidRPr="00B266F4" w:rsidRDefault="00B266F4" w:rsidP="00B266F4">
            <w:pPr>
              <w:jc w:val="right"/>
              <w:rPr>
                <w:sz w:val="18"/>
                <w:szCs w:val="18"/>
                <w:lang w:val="en-US" w:eastAsia="ro-MD"/>
              </w:rPr>
            </w:pPr>
            <w:r w:rsidRPr="00B266F4">
              <w:rPr>
                <w:i/>
                <w:iCs/>
                <w:sz w:val="18"/>
                <w:szCs w:val="18"/>
                <w:lang w:val="en-US" w:eastAsia="ro-MD"/>
              </w:rPr>
              <w:t xml:space="preserve">la </w:t>
            </w:r>
            <w:proofErr w:type="spellStart"/>
            <w:r w:rsidRPr="00B266F4">
              <w:rPr>
                <w:i/>
                <w:iCs/>
                <w:sz w:val="18"/>
                <w:szCs w:val="18"/>
                <w:lang w:val="en-US" w:eastAsia="ro-MD"/>
              </w:rPr>
              <w:t>Regulamentul</w:t>
            </w:r>
            <w:proofErr w:type="spellEnd"/>
            <w:r w:rsidRPr="00B266F4">
              <w:rPr>
                <w:i/>
                <w:iCs/>
                <w:sz w:val="18"/>
                <w:szCs w:val="18"/>
                <w:lang w:val="en-US" w:eastAsia="ro-MD"/>
              </w:rPr>
              <w:t xml:space="preserve"> cu </w:t>
            </w:r>
            <w:proofErr w:type="spellStart"/>
            <w:r w:rsidRPr="00B266F4">
              <w:rPr>
                <w:i/>
                <w:iCs/>
                <w:sz w:val="18"/>
                <w:szCs w:val="18"/>
                <w:lang w:val="en-US" w:eastAsia="ro-MD"/>
              </w:rPr>
              <w:t>privire</w:t>
            </w:r>
            <w:proofErr w:type="spellEnd"/>
            <w:r w:rsidRPr="00B266F4">
              <w:rPr>
                <w:i/>
                <w:iCs/>
                <w:sz w:val="18"/>
                <w:szCs w:val="18"/>
                <w:lang w:val="en-US" w:eastAsia="ro-MD"/>
              </w:rPr>
              <w:t xml:space="preserve"> la </w:t>
            </w:r>
            <w:proofErr w:type="spellStart"/>
            <w:r w:rsidRPr="00B266F4">
              <w:rPr>
                <w:i/>
                <w:iCs/>
                <w:sz w:val="18"/>
                <w:szCs w:val="18"/>
                <w:lang w:val="en-US" w:eastAsia="ro-MD"/>
              </w:rPr>
              <w:t>tratamentul</w:t>
            </w:r>
            <w:proofErr w:type="spellEnd"/>
          </w:p>
          <w:p w14:paraId="0F923BF5" w14:textId="77777777" w:rsidR="00B266F4" w:rsidRPr="00B266F4" w:rsidRDefault="00B266F4" w:rsidP="00B266F4">
            <w:pPr>
              <w:jc w:val="right"/>
              <w:rPr>
                <w:sz w:val="18"/>
                <w:szCs w:val="18"/>
                <w:lang w:val="en-US" w:eastAsia="ro-MD"/>
              </w:rPr>
            </w:pPr>
            <w:proofErr w:type="spellStart"/>
            <w:r w:rsidRPr="00B266F4">
              <w:rPr>
                <w:i/>
                <w:iCs/>
                <w:sz w:val="18"/>
                <w:szCs w:val="18"/>
                <w:lang w:val="en-US" w:eastAsia="ro-MD"/>
              </w:rPr>
              <w:t>riscului</w:t>
            </w:r>
            <w:proofErr w:type="spellEnd"/>
            <w:r w:rsidRPr="00B266F4">
              <w:rPr>
                <w:i/>
                <w:iCs/>
                <w:sz w:val="18"/>
                <w:szCs w:val="18"/>
                <w:lang w:val="en-US" w:eastAsia="ro-MD"/>
              </w:rPr>
              <w:t xml:space="preserve"> de credit al </w:t>
            </w:r>
            <w:proofErr w:type="spellStart"/>
            <w:r w:rsidRPr="00B266F4">
              <w:rPr>
                <w:i/>
                <w:iCs/>
                <w:sz w:val="18"/>
                <w:szCs w:val="18"/>
                <w:lang w:val="en-US" w:eastAsia="ro-MD"/>
              </w:rPr>
              <w:t>contrapărţii</w:t>
            </w:r>
            <w:proofErr w:type="spellEnd"/>
            <w:r w:rsidRPr="00B266F4">
              <w:rPr>
                <w:i/>
                <w:iCs/>
                <w:sz w:val="18"/>
                <w:szCs w:val="18"/>
                <w:lang w:val="en-US" w:eastAsia="ro-MD"/>
              </w:rPr>
              <w:t xml:space="preserve"> </w:t>
            </w:r>
            <w:proofErr w:type="spellStart"/>
            <w:r w:rsidRPr="00B266F4">
              <w:rPr>
                <w:i/>
                <w:iCs/>
                <w:sz w:val="18"/>
                <w:szCs w:val="18"/>
                <w:lang w:val="en-US" w:eastAsia="ro-MD"/>
              </w:rPr>
              <w:t>pentru</w:t>
            </w:r>
            <w:proofErr w:type="spellEnd"/>
            <w:r w:rsidRPr="00B266F4">
              <w:rPr>
                <w:i/>
                <w:iCs/>
                <w:sz w:val="18"/>
                <w:szCs w:val="18"/>
                <w:lang w:val="en-US" w:eastAsia="ro-MD"/>
              </w:rPr>
              <w:t xml:space="preserve"> </w:t>
            </w:r>
            <w:proofErr w:type="spellStart"/>
            <w:r w:rsidRPr="00B266F4">
              <w:rPr>
                <w:i/>
                <w:iCs/>
                <w:sz w:val="18"/>
                <w:szCs w:val="18"/>
                <w:lang w:val="en-US" w:eastAsia="ro-MD"/>
              </w:rPr>
              <w:t>bănci</w:t>
            </w:r>
            <w:proofErr w:type="spellEnd"/>
          </w:p>
          <w:p w14:paraId="7812DE0C" w14:textId="77777777" w:rsidR="00B266F4" w:rsidRPr="00B266F4" w:rsidRDefault="00B266F4" w:rsidP="00B266F4">
            <w:pPr>
              <w:jc w:val="both"/>
              <w:rPr>
                <w:b/>
                <w:bCs/>
                <w:sz w:val="18"/>
                <w:szCs w:val="18"/>
                <w:lang w:val="en-US" w:eastAsia="ro-MD"/>
              </w:rPr>
            </w:pPr>
          </w:p>
          <w:p w14:paraId="06DD6D78" w14:textId="77777777" w:rsidR="00B266F4" w:rsidRPr="00B266F4" w:rsidRDefault="00B266F4" w:rsidP="00B266F4">
            <w:pPr>
              <w:jc w:val="center"/>
              <w:rPr>
                <w:b/>
                <w:bCs/>
                <w:sz w:val="18"/>
                <w:szCs w:val="18"/>
                <w:lang w:val="en-US" w:eastAsia="ro-MD"/>
              </w:rPr>
            </w:pPr>
            <w:proofErr w:type="spellStart"/>
            <w:r w:rsidRPr="00B266F4">
              <w:rPr>
                <w:b/>
                <w:bCs/>
                <w:sz w:val="18"/>
                <w:szCs w:val="18"/>
                <w:lang w:val="en-US" w:eastAsia="ro-MD"/>
              </w:rPr>
              <w:t>Standardele</w:t>
            </w:r>
            <w:proofErr w:type="spellEnd"/>
            <w:r w:rsidRPr="00B266F4">
              <w:rPr>
                <w:b/>
                <w:bCs/>
                <w:sz w:val="18"/>
                <w:szCs w:val="18"/>
                <w:lang w:val="en-US" w:eastAsia="ro-MD"/>
              </w:rPr>
              <w:t xml:space="preserve"> </w:t>
            </w:r>
            <w:proofErr w:type="spellStart"/>
            <w:r w:rsidRPr="00B266F4">
              <w:rPr>
                <w:b/>
                <w:bCs/>
                <w:sz w:val="18"/>
                <w:szCs w:val="18"/>
                <w:lang w:val="en-US" w:eastAsia="ro-MD"/>
              </w:rPr>
              <w:t>tehnice</w:t>
            </w:r>
            <w:proofErr w:type="spellEnd"/>
            <w:r w:rsidRPr="00B266F4">
              <w:rPr>
                <w:b/>
                <w:bCs/>
                <w:sz w:val="18"/>
                <w:szCs w:val="18"/>
                <w:lang w:val="en-US" w:eastAsia="ro-MD"/>
              </w:rPr>
              <w:t xml:space="preserve"> de </w:t>
            </w:r>
            <w:proofErr w:type="spellStart"/>
            <w:r w:rsidRPr="00B266F4">
              <w:rPr>
                <w:b/>
                <w:bCs/>
                <w:sz w:val="18"/>
                <w:szCs w:val="18"/>
                <w:lang w:val="en-US" w:eastAsia="ro-MD"/>
              </w:rPr>
              <w:t>reglementare</w:t>
            </w:r>
            <w:proofErr w:type="spellEnd"/>
            <w:r w:rsidRPr="00B266F4">
              <w:rPr>
                <w:b/>
                <w:bCs/>
                <w:sz w:val="18"/>
                <w:szCs w:val="18"/>
                <w:lang w:val="en-US" w:eastAsia="ro-MD"/>
              </w:rPr>
              <w:t xml:space="preserve"> </w:t>
            </w:r>
            <w:proofErr w:type="spellStart"/>
            <w:r w:rsidRPr="00B266F4">
              <w:rPr>
                <w:b/>
                <w:bCs/>
                <w:sz w:val="18"/>
                <w:szCs w:val="18"/>
                <w:lang w:val="en-US" w:eastAsia="ro-MD"/>
              </w:rPr>
              <w:t>pentru</w:t>
            </w:r>
            <w:proofErr w:type="spellEnd"/>
            <w:r w:rsidRPr="00B266F4">
              <w:rPr>
                <w:b/>
                <w:bCs/>
                <w:sz w:val="18"/>
                <w:szCs w:val="18"/>
                <w:lang w:val="en-US" w:eastAsia="ro-MD"/>
              </w:rPr>
              <w:t xml:space="preserve"> </w:t>
            </w:r>
            <w:proofErr w:type="spellStart"/>
            <w:r w:rsidRPr="00B266F4">
              <w:rPr>
                <w:b/>
                <w:bCs/>
                <w:sz w:val="18"/>
                <w:szCs w:val="18"/>
                <w:lang w:val="en-US" w:eastAsia="ro-MD"/>
              </w:rPr>
              <w:t>precizarea</w:t>
            </w:r>
            <w:proofErr w:type="spellEnd"/>
            <w:r w:rsidRPr="00B266F4">
              <w:rPr>
                <w:b/>
                <w:bCs/>
                <w:sz w:val="18"/>
                <w:szCs w:val="18"/>
                <w:lang w:val="en-US" w:eastAsia="ro-MD"/>
              </w:rPr>
              <w:t xml:space="preserve"> </w:t>
            </w:r>
            <w:proofErr w:type="spellStart"/>
            <w:r w:rsidRPr="00B266F4">
              <w:rPr>
                <w:b/>
                <w:bCs/>
                <w:sz w:val="18"/>
                <w:szCs w:val="18"/>
                <w:lang w:val="en-US" w:eastAsia="ro-MD"/>
              </w:rPr>
              <w:t>perioadelor</w:t>
            </w:r>
            <w:proofErr w:type="spellEnd"/>
            <w:r w:rsidRPr="00B266F4">
              <w:rPr>
                <w:b/>
                <w:bCs/>
                <w:sz w:val="18"/>
                <w:szCs w:val="18"/>
                <w:lang w:val="en-US" w:eastAsia="ro-MD"/>
              </w:rPr>
              <w:t xml:space="preserve"> de </w:t>
            </w:r>
            <w:proofErr w:type="spellStart"/>
            <w:r w:rsidRPr="00B266F4">
              <w:rPr>
                <w:b/>
                <w:bCs/>
                <w:sz w:val="18"/>
                <w:szCs w:val="18"/>
                <w:lang w:val="en-US" w:eastAsia="ro-MD"/>
              </w:rPr>
              <w:t>risc</w:t>
            </w:r>
            <w:proofErr w:type="spellEnd"/>
            <w:r w:rsidRPr="00B266F4">
              <w:rPr>
                <w:b/>
                <w:bCs/>
                <w:sz w:val="18"/>
                <w:szCs w:val="18"/>
                <w:lang w:val="en-US" w:eastAsia="ro-MD"/>
              </w:rPr>
              <w:t xml:space="preserve"> de </w:t>
            </w:r>
            <w:proofErr w:type="spellStart"/>
            <w:r w:rsidRPr="00B266F4">
              <w:rPr>
                <w:b/>
                <w:bCs/>
                <w:sz w:val="18"/>
                <w:szCs w:val="18"/>
                <w:lang w:val="en-US" w:eastAsia="ro-MD"/>
              </w:rPr>
              <w:t>marjă</w:t>
            </w:r>
            <w:proofErr w:type="spellEnd"/>
          </w:p>
          <w:p w14:paraId="77BD58DA" w14:textId="77777777" w:rsidR="00B266F4" w:rsidRPr="00B266F4" w:rsidRDefault="00B266F4" w:rsidP="00B266F4">
            <w:pPr>
              <w:jc w:val="both"/>
              <w:rPr>
                <w:sz w:val="18"/>
                <w:szCs w:val="18"/>
                <w:lang w:val="ro-MD" w:eastAsia="ro-MD"/>
              </w:rPr>
            </w:pPr>
            <w:r w:rsidRPr="00B266F4">
              <w:rPr>
                <w:b/>
                <w:bCs/>
                <w:sz w:val="18"/>
                <w:szCs w:val="18"/>
                <w:lang w:val="ro-MD" w:eastAsia="ro-MD"/>
              </w:rPr>
              <w:t>1.</w:t>
            </w:r>
            <w:r w:rsidRPr="00B266F4">
              <w:rPr>
                <w:sz w:val="18"/>
                <w:szCs w:val="18"/>
                <w:lang w:val="ro-MD" w:eastAsia="ro-MD"/>
              </w:rPr>
              <w:t> Perioadele de risc de marjă (MPOR) aferente unui set de compensare pe care băncile le pot utiliza în sensul punctelor 134 și 135 din prezentul regulament se determină în conformitate cu punctele 2-4 din prezenta anexă.</w:t>
            </w:r>
          </w:p>
          <w:p w14:paraId="36068F3E" w14:textId="77777777" w:rsidR="00B266F4" w:rsidRPr="00B266F4" w:rsidRDefault="00B266F4" w:rsidP="00B266F4">
            <w:pPr>
              <w:jc w:val="both"/>
              <w:rPr>
                <w:sz w:val="18"/>
                <w:szCs w:val="18"/>
                <w:lang w:val="ro-MD" w:eastAsia="ro-MD"/>
              </w:rPr>
            </w:pPr>
            <w:r w:rsidRPr="00B266F4">
              <w:rPr>
                <w:b/>
                <w:bCs/>
                <w:sz w:val="18"/>
                <w:szCs w:val="18"/>
                <w:lang w:val="ro-MD" w:eastAsia="ro-MD"/>
              </w:rPr>
              <w:t>2.</w:t>
            </w:r>
            <w:r w:rsidRPr="00B266F4">
              <w:rPr>
                <w:sz w:val="18"/>
                <w:szCs w:val="18"/>
                <w:lang w:val="ro-MD" w:eastAsia="ro-MD"/>
              </w:rPr>
              <w:t xml:space="preserve"> În cazul în care setul de compensare relevant include tranzacții compensate cu o contrapartidă centrală calificată, astfel cum este definită la </w:t>
            </w:r>
            <w:bookmarkStart w:id="0" w:name="_Hlk214637652"/>
            <w:r w:rsidRPr="00B266F4">
              <w:rPr>
                <w:sz w:val="18"/>
                <w:szCs w:val="18"/>
                <w:lang w:val="ro-MD" w:eastAsia="ro-MD"/>
              </w:rPr>
              <w:lastRenderedPageBreak/>
              <w:t>punctul 3 din prezentul regulament</w:t>
            </w:r>
            <w:bookmarkEnd w:id="0"/>
            <w:r w:rsidRPr="00B266F4">
              <w:rPr>
                <w:sz w:val="18"/>
                <w:szCs w:val="18"/>
                <w:lang w:val="ro-MD" w:eastAsia="ro-MD"/>
              </w:rPr>
              <w:t>, MPOR pe care băncile le pot utiliza corespund perioadei cu durata mai mare dintre cele enumerate în continuare:</w:t>
            </w:r>
          </w:p>
          <w:p w14:paraId="34B214AB" w14:textId="77777777" w:rsidR="00B266F4" w:rsidRPr="00B266F4" w:rsidRDefault="00B266F4" w:rsidP="00B266F4">
            <w:pPr>
              <w:jc w:val="both"/>
              <w:rPr>
                <w:sz w:val="18"/>
                <w:szCs w:val="18"/>
                <w:lang w:val="ro-MD" w:eastAsia="ro-MD"/>
              </w:rPr>
            </w:pPr>
            <w:r w:rsidRPr="00B266F4">
              <w:rPr>
                <w:sz w:val="18"/>
                <w:szCs w:val="18"/>
                <w:lang w:val="ro-MD" w:eastAsia="ro-MD"/>
              </w:rPr>
              <w:t>2.1. cinci zile lucrătoare;</w:t>
            </w:r>
          </w:p>
          <w:p w14:paraId="2ECFA11D" w14:textId="3D4A8F65" w:rsidR="00B266F4" w:rsidRPr="00B266F4" w:rsidRDefault="00B266F4" w:rsidP="00B266F4">
            <w:pPr>
              <w:jc w:val="both"/>
              <w:rPr>
                <w:sz w:val="18"/>
                <w:szCs w:val="18"/>
                <w:lang w:val="ro-MD" w:eastAsia="ro-MD"/>
              </w:rPr>
            </w:pPr>
            <w:r w:rsidRPr="00B266F4">
              <w:rPr>
                <w:sz w:val="18"/>
                <w:szCs w:val="18"/>
                <w:lang w:val="ro-MD" w:eastAsia="ro-MD"/>
              </w:rPr>
              <w:t>2.2. cea mai lungă perioadă de lichidare a contractelor sau a tranzacțiilor incluse în setul de compensare, astfel cum a fost făcută </w:t>
            </w:r>
            <w:r w:rsidR="005D5F25">
              <w:rPr>
                <w:sz w:val="18"/>
                <w:szCs w:val="18"/>
                <w:lang w:val="ro-MD" w:eastAsia="ro-MD"/>
              </w:rPr>
              <w:t xml:space="preserve">publică în </w:t>
            </w:r>
            <w:proofErr w:type="spellStart"/>
            <w:r w:rsidR="005D5F25" w:rsidRPr="005D5F25">
              <w:rPr>
                <w:sz w:val="18"/>
                <w:szCs w:val="18"/>
                <w:lang w:val="en-US" w:eastAsia="ro-MD"/>
              </w:rPr>
              <w:t>sistemele</w:t>
            </w:r>
            <w:proofErr w:type="spellEnd"/>
            <w:r w:rsidR="005D5F25" w:rsidRPr="005D5F25">
              <w:rPr>
                <w:sz w:val="18"/>
                <w:szCs w:val="18"/>
                <w:lang w:val="en-US" w:eastAsia="ro-MD"/>
              </w:rPr>
              <w:t xml:space="preserve">, </w:t>
            </w:r>
            <w:proofErr w:type="spellStart"/>
            <w:r w:rsidR="005D5F25" w:rsidRPr="005D5F25">
              <w:rPr>
                <w:sz w:val="18"/>
                <w:szCs w:val="18"/>
                <w:lang w:val="en-US" w:eastAsia="ro-MD"/>
              </w:rPr>
              <w:t>tehnicile</w:t>
            </w:r>
            <w:proofErr w:type="spellEnd"/>
            <w:r w:rsidR="005D5F25" w:rsidRPr="005D5F25">
              <w:rPr>
                <w:sz w:val="18"/>
                <w:szCs w:val="18"/>
                <w:lang w:val="en-US" w:eastAsia="ro-MD"/>
              </w:rPr>
              <w:t xml:space="preserve"> </w:t>
            </w:r>
            <w:proofErr w:type="spellStart"/>
            <w:r w:rsidR="005D5F25" w:rsidRPr="005D5F25">
              <w:rPr>
                <w:sz w:val="18"/>
                <w:szCs w:val="18"/>
                <w:lang w:val="en-US" w:eastAsia="ro-MD"/>
              </w:rPr>
              <w:t>și</w:t>
            </w:r>
            <w:proofErr w:type="spellEnd"/>
            <w:r w:rsidR="005D5F25" w:rsidRPr="005D5F25">
              <w:rPr>
                <w:sz w:val="18"/>
                <w:szCs w:val="18"/>
                <w:lang w:val="en-US" w:eastAsia="ro-MD"/>
              </w:rPr>
              <w:t xml:space="preserve"> </w:t>
            </w:r>
            <w:proofErr w:type="spellStart"/>
            <w:r w:rsidR="005D5F25" w:rsidRPr="005D5F25">
              <w:rPr>
                <w:sz w:val="18"/>
                <w:szCs w:val="18"/>
                <w:lang w:val="en-US" w:eastAsia="ro-MD"/>
              </w:rPr>
              <w:t>performanțele</w:t>
            </w:r>
            <w:proofErr w:type="spellEnd"/>
            <w:r w:rsidR="005D5F25" w:rsidRPr="005D5F25">
              <w:rPr>
                <w:sz w:val="18"/>
                <w:szCs w:val="18"/>
                <w:lang w:val="en-US" w:eastAsia="ro-MD"/>
              </w:rPr>
              <w:t xml:space="preserve"> </w:t>
            </w:r>
            <w:proofErr w:type="spellStart"/>
            <w:r w:rsidR="005D5F25" w:rsidRPr="005D5F25">
              <w:rPr>
                <w:sz w:val="18"/>
                <w:szCs w:val="18"/>
                <w:lang w:val="en-US" w:eastAsia="ro-MD"/>
              </w:rPr>
              <w:t>contrapărții</w:t>
            </w:r>
            <w:proofErr w:type="spellEnd"/>
            <w:r w:rsidR="005D5F25" w:rsidRPr="005D5F25">
              <w:rPr>
                <w:sz w:val="18"/>
                <w:szCs w:val="18"/>
                <w:lang w:val="en-US" w:eastAsia="ro-MD"/>
              </w:rPr>
              <w:t xml:space="preserve"> centrale </w:t>
            </w:r>
            <w:proofErr w:type="spellStart"/>
            <w:r w:rsidR="005D5F25" w:rsidRPr="005D5F25">
              <w:rPr>
                <w:sz w:val="18"/>
                <w:szCs w:val="18"/>
                <w:lang w:val="en-US" w:eastAsia="ro-MD"/>
              </w:rPr>
              <w:t>în</w:t>
            </w:r>
            <w:proofErr w:type="spellEnd"/>
            <w:r w:rsidR="005D5F25" w:rsidRPr="005D5F25">
              <w:rPr>
                <w:sz w:val="18"/>
                <w:szCs w:val="18"/>
                <w:lang w:val="en-US" w:eastAsia="ro-MD"/>
              </w:rPr>
              <w:t xml:space="preserve"> </w:t>
            </w:r>
            <w:proofErr w:type="spellStart"/>
            <w:r w:rsidR="005D5F25" w:rsidRPr="005D5F25">
              <w:rPr>
                <w:sz w:val="18"/>
                <w:szCs w:val="18"/>
                <w:lang w:val="en-US" w:eastAsia="ro-MD"/>
              </w:rPr>
              <w:t>materie</w:t>
            </w:r>
            <w:proofErr w:type="spellEnd"/>
            <w:r w:rsidR="005D5F25" w:rsidRPr="005D5F25">
              <w:rPr>
                <w:sz w:val="18"/>
                <w:szCs w:val="18"/>
                <w:lang w:val="en-US" w:eastAsia="ro-MD"/>
              </w:rPr>
              <w:t xml:space="preserve"> de </w:t>
            </w:r>
            <w:proofErr w:type="spellStart"/>
            <w:r w:rsidR="005D5F25" w:rsidRPr="005D5F25">
              <w:rPr>
                <w:sz w:val="18"/>
                <w:szCs w:val="18"/>
                <w:lang w:val="en-US" w:eastAsia="ro-MD"/>
              </w:rPr>
              <w:t>gestionare</w:t>
            </w:r>
            <w:proofErr w:type="spellEnd"/>
            <w:r w:rsidR="005D5F25" w:rsidRPr="005D5F25">
              <w:rPr>
                <w:sz w:val="18"/>
                <w:szCs w:val="18"/>
                <w:lang w:val="en-US" w:eastAsia="ro-MD"/>
              </w:rPr>
              <w:t xml:space="preserve"> a </w:t>
            </w:r>
            <w:proofErr w:type="spellStart"/>
            <w:r w:rsidR="005D5F25" w:rsidRPr="005D5F25">
              <w:rPr>
                <w:sz w:val="18"/>
                <w:szCs w:val="18"/>
                <w:lang w:val="en-US" w:eastAsia="ro-MD"/>
              </w:rPr>
              <w:t>riscurilor</w:t>
            </w:r>
            <w:proofErr w:type="spellEnd"/>
            <w:r w:rsidR="005D5F25" w:rsidRPr="005D5F25">
              <w:rPr>
                <w:sz w:val="18"/>
                <w:szCs w:val="18"/>
                <w:lang w:val="en-US" w:eastAsia="ro-MD"/>
              </w:rPr>
              <w:t xml:space="preserve">, </w:t>
            </w:r>
            <w:proofErr w:type="spellStart"/>
            <w:r w:rsidR="005D5F25" w:rsidRPr="005D5F25">
              <w:rPr>
                <w:sz w:val="18"/>
                <w:szCs w:val="18"/>
                <w:lang w:val="en-US" w:eastAsia="ro-MD"/>
              </w:rPr>
              <w:t>inclusiv</w:t>
            </w:r>
            <w:proofErr w:type="spellEnd"/>
            <w:r w:rsidR="005D5F25" w:rsidRPr="005D5F25">
              <w:rPr>
                <w:sz w:val="18"/>
                <w:szCs w:val="18"/>
                <w:lang w:val="en-US" w:eastAsia="ro-MD"/>
              </w:rPr>
              <w:t xml:space="preserve"> </w:t>
            </w:r>
            <w:proofErr w:type="spellStart"/>
            <w:r w:rsidR="005D5F25" w:rsidRPr="005D5F25">
              <w:rPr>
                <w:sz w:val="18"/>
                <w:szCs w:val="18"/>
                <w:lang w:val="en-US" w:eastAsia="ro-MD"/>
              </w:rPr>
              <w:t>informații</w:t>
            </w:r>
            <w:proofErr w:type="spellEnd"/>
            <w:r w:rsidR="005D5F25" w:rsidRPr="005D5F25">
              <w:rPr>
                <w:sz w:val="18"/>
                <w:szCs w:val="18"/>
                <w:lang w:val="en-US" w:eastAsia="ro-MD"/>
              </w:rPr>
              <w:t xml:space="preserve"> cu </w:t>
            </w:r>
            <w:proofErr w:type="spellStart"/>
            <w:r w:rsidR="005D5F25" w:rsidRPr="005D5F25">
              <w:rPr>
                <w:sz w:val="18"/>
                <w:szCs w:val="18"/>
                <w:lang w:val="en-US" w:eastAsia="ro-MD"/>
              </w:rPr>
              <w:t>privire</w:t>
            </w:r>
            <w:proofErr w:type="spellEnd"/>
            <w:r w:rsidR="005D5F25" w:rsidRPr="005D5F25">
              <w:rPr>
                <w:sz w:val="18"/>
                <w:szCs w:val="18"/>
                <w:lang w:val="en-US" w:eastAsia="ro-MD"/>
              </w:rPr>
              <w:t xml:space="preserve"> la </w:t>
            </w:r>
            <w:proofErr w:type="spellStart"/>
            <w:r w:rsidR="005D5F25" w:rsidRPr="005D5F25">
              <w:rPr>
                <w:sz w:val="18"/>
                <w:szCs w:val="18"/>
                <w:lang w:val="en-US" w:eastAsia="ro-MD"/>
              </w:rPr>
              <w:t>resursele</w:t>
            </w:r>
            <w:proofErr w:type="spellEnd"/>
            <w:r w:rsidR="005D5F25" w:rsidRPr="005D5F25">
              <w:rPr>
                <w:sz w:val="18"/>
                <w:szCs w:val="18"/>
                <w:lang w:val="en-US" w:eastAsia="ro-MD"/>
              </w:rPr>
              <w:t xml:space="preserve"> </w:t>
            </w:r>
            <w:proofErr w:type="spellStart"/>
            <w:r w:rsidR="005D5F25" w:rsidRPr="005D5F25">
              <w:rPr>
                <w:sz w:val="18"/>
                <w:szCs w:val="18"/>
                <w:lang w:val="en-US" w:eastAsia="ro-MD"/>
              </w:rPr>
              <w:t>financiare</w:t>
            </w:r>
            <w:proofErr w:type="spellEnd"/>
            <w:r w:rsidR="005D5F25" w:rsidRPr="005D5F25">
              <w:rPr>
                <w:sz w:val="18"/>
                <w:szCs w:val="18"/>
                <w:lang w:val="en-US" w:eastAsia="ro-MD"/>
              </w:rPr>
              <w:t xml:space="preserve">, </w:t>
            </w:r>
            <w:proofErr w:type="spellStart"/>
            <w:r w:rsidR="005D5F25" w:rsidRPr="005D5F25">
              <w:rPr>
                <w:sz w:val="18"/>
                <w:szCs w:val="18"/>
                <w:lang w:val="en-US" w:eastAsia="ro-MD"/>
              </w:rPr>
              <w:t>politica</w:t>
            </w:r>
            <w:proofErr w:type="spellEnd"/>
            <w:r w:rsidR="005D5F25" w:rsidRPr="005D5F25">
              <w:rPr>
                <w:sz w:val="18"/>
                <w:szCs w:val="18"/>
                <w:lang w:val="en-US" w:eastAsia="ro-MD"/>
              </w:rPr>
              <w:t xml:space="preserve"> de </w:t>
            </w:r>
            <w:proofErr w:type="spellStart"/>
            <w:r w:rsidR="005D5F25" w:rsidRPr="005D5F25">
              <w:rPr>
                <w:sz w:val="18"/>
                <w:szCs w:val="18"/>
                <w:lang w:val="en-US" w:eastAsia="ro-MD"/>
              </w:rPr>
              <w:t>investiții</w:t>
            </w:r>
            <w:proofErr w:type="spellEnd"/>
            <w:r w:rsidR="005D5F25" w:rsidRPr="005D5F25">
              <w:rPr>
                <w:sz w:val="18"/>
                <w:szCs w:val="18"/>
                <w:lang w:val="en-US" w:eastAsia="ro-MD"/>
              </w:rPr>
              <w:t xml:space="preserve">, </w:t>
            </w:r>
            <w:proofErr w:type="spellStart"/>
            <w:r w:rsidR="005D5F25" w:rsidRPr="005D5F25">
              <w:rPr>
                <w:sz w:val="18"/>
                <w:szCs w:val="18"/>
                <w:lang w:val="en-US" w:eastAsia="ro-MD"/>
              </w:rPr>
              <w:t>sursele</w:t>
            </w:r>
            <w:proofErr w:type="spellEnd"/>
            <w:r w:rsidR="005D5F25" w:rsidRPr="005D5F25">
              <w:rPr>
                <w:sz w:val="18"/>
                <w:szCs w:val="18"/>
                <w:lang w:val="en-US" w:eastAsia="ro-MD"/>
              </w:rPr>
              <w:t xml:space="preserve"> de date </w:t>
            </w:r>
            <w:proofErr w:type="spellStart"/>
            <w:r w:rsidR="005D5F25" w:rsidRPr="005D5F25">
              <w:rPr>
                <w:sz w:val="18"/>
                <w:szCs w:val="18"/>
                <w:lang w:val="en-US" w:eastAsia="ro-MD"/>
              </w:rPr>
              <w:t>privind</w:t>
            </w:r>
            <w:proofErr w:type="spellEnd"/>
            <w:r w:rsidR="005D5F25" w:rsidRPr="005D5F25">
              <w:rPr>
                <w:sz w:val="18"/>
                <w:szCs w:val="18"/>
                <w:lang w:val="en-US" w:eastAsia="ro-MD"/>
              </w:rPr>
              <w:t xml:space="preserve"> </w:t>
            </w:r>
            <w:proofErr w:type="spellStart"/>
            <w:r w:rsidR="005D5F25" w:rsidRPr="005D5F25">
              <w:rPr>
                <w:sz w:val="18"/>
                <w:szCs w:val="18"/>
                <w:lang w:val="en-US" w:eastAsia="ro-MD"/>
              </w:rPr>
              <w:t>prețul</w:t>
            </w:r>
            <w:proofErr w:type="spellEnd"/>
            <w:r w:rsidR="005D5F25" w:rsidRPr="005D5F25">
              <w:rPr>
                <w:sz w:val="18"/>
                <w:szCs w:val="18"/>
                <w:lang w:val="en-US" w:eastAsia="ro-MD"/>
              </w:rPr>
              <w:t xml:space="preserve"> </w:t>
            </w:r>
            <w:proofErr w:type="spellStart"/>
            <w:r w:rsidR="005D5F25" w:rsidRPr="005D5F25">
              <w:rPr>
                <w:sz w:val="18"/>
                <w:szCs w:val="18"/>
                <w:lang w:val="en-US" w:eastAsia="ro-MD"/>
              </w:rPr>
              <w:t>și</w:t>
            </w:r>
            <w:proofErr w:type="spellEnd"/>
            <w:r w:rsidR="005D5F25" w:rsidRPr="005D5F25">
              <w:rPr>
                <w:sz w:val="18"/>
                <w:szCs w:val="18"/>
                <w:lang w:val="en-US" w:eastAsia="ro-MD"/>
              </w:rPr>
              <w:t xml:space="preserve"> </w:t>
            </w:r>
            <w:proofErr w:type="spellStart"/>
            <w:r w:rsidR="005D5F25" w:rsidRPr="005D5F25">
              <w:rPr>
                <w:sz w:val="18"/>
                <w:szCs w:val="18"/>
                <w:lang w:val="en-US" w:eastAsia="ro-MD"/>
              </w:rPr>
              <w:t>modelele</w:t>
            </w:r>
            <w:proofErr w:type="spellEnd"/>
            <w:r w:rsidR="005D5F25" w:rsidRPr="005D5F25">
              <w:rPr>
                <w:sz w:val="18"/>
                <w:szCs w:val="18"/>
                <w:lang w:val="en-US" w:eastAsia="ro-MD"/>
              </w:rPr>
              <w:t xml:space="preserve"> </w:t>
            </w:r>
            <w:proofErr w:type="spellStart"/>
            <w:r w:rsidR="005D5F25" w:rsidRPr="005D5F25">
              <w:rPr>
                <w:sz w:val="18"/>
                <w:szCs w:val="18"/>
                <w:lang w:val="en-US" w:eastAsia="ro-MD"/>
              </w:rPr>
              <w:t>folosite</w:t>
            </w:r>
            <w:proofErr w:type="spellEnd"/>
            <w:r w:rsidR="005D5F25" w:rsidRPr="005D5F25">
              <w:rPr>
                <w:sz w:val="18"/>
                <w:szCs w:val="18"/>
                <w:lang w:val="en-US" w:eastAsia="ro-MD"/>
              </w:rPr>
              <w:t xml:space="preserve"> la </w:t>
            </w:r>
            <w:proofErr w:type="spellStart"/>
            <w:r w:rsidR="005D5F25" w:rsidRPr="005D5F25">
              <w:rPr>
                <w:sz w:val="18"/>
                <w:szCs w:val="18"/>
                <w:lang w:val="en-US" w:eastAsia="ro-MD"/>
              </w:rPr>
              <w:t>calculul</w:t>
            </w:r>
            <w:proofErr w:type="spellEnd"/>
            <w:r w:rsidR="005D5F25" w:rsidRPr="005D5F25">
              <w:rPr>
                <w:sz w:val="18"/>
                <w:szCs w:val="18"/>
                <w:lang w:val="en-US" w:eastAsia="ro-MD"/>
              </w:rPr>
              <w:t xml:space="preserve"> </w:t>
            </w:r>
            <w:proofErr w:type="spellStart"/>
            <w:r w:rsidR="005D5F25" w:rsidRPr="005D5F25">
              <w:rPr>
                <w:sz w:val="18"/>
                <w:szCs w:val="18"/>
                <w:lang w:val="en-US" w:eastAsia="ro-MD"/>
              </w:rPr>
              <w:t>marjelor</w:t>
            </w:r>
            <w:proofErr w:type="spellEnd"/>
            <w:r w:rsidR="005D5F25">
              <w:rPr>
                <w:sz w:val="18"/>
                <w:szCs w:val="18"/>
                <w:lang w:val="en-US" w:eastAsia="ro-MD"/>
              </w:rPr>
              <w:t xml:space="preserve"> </w:t>
            </w:r>
            <w:r w:rsidRPr="00B266F4">
              <w:rPr>
                <w:sz w:val="18"/>
                <w:szCs w:val="18"/>
                <w:lang w:val="ro-MD" w:eastAsia="ro-MD"/>
              </w:rPr>
              <w:t>de către contrapartida centrală calificată cu care sunt compensate respectivele contracte sau tranzacții.</w:t>
            </w:r>
          </w:p>
          <w:p w14:paraId="6E64A9D4" w14:textId="77777777" w:rsidR="00B266F4" w:rsidRPr="00B266F4" w:rsidRDefault="00B266F4" w:rsidP="00B266F4">
            <w:pPr>
              <w:jc w:val="both"/>
              <w:rPr>
                <w:sz w:val="18"/>
                <w:szCs w:val="18"/>
                <w:lang w:val="ro-MD" w:eastAsia="ro-MD"/>
              </w:rPr>
            </w:pPr>
            <w:r w:rsidRPr="00B266F4">
              <w:rPr>
                <w:b/>
                <w:bCs/>
                <w:sz w:val="18"/>
                <w:szCs w:val="18"/>
                <w:lang w:val="ro-MD" w:eastAsia="ro-MD"/>
              </w:rPr>
              <w:t>3.</w:t>
            </w:r>
            <w:r w:rsidRPr="00B266F4">
              <w:rPr>
                <w:sz w:val="18"/>
                <w:szCs w:val="18"/>
                <w:lang w:val="ro-MD" w:eastAsia="ro-MD"/>
              </w:rPr>
              <w:t xml:space="preserve"> În sensul subpunctului 2.2. din prezenta anexă, în cazul în care perioada de lichidare făcută publică include o perioadă suplimentară pentru novația pozițiilor unui membru compensator care își respectă obligațiile, perioada care trebuie să fie utilizată de bancă ca MPOR exclude respectiva perioadă suplimentară.</w:t>
            </w:r>
          </w:p>
          <w:p w14:paraId="26D4111E" w14:textId="77777777" w:rsidR="00B266F4" w:rsidRPr="00B266F4" w:rsidRDefault="00B266F4" w:rsidP="00B266F4">
            <w:pPr>
              <w:jc w:val="both"/>
              <w:rPr>
                <w:sz w:val="18"/>
                <w:szCs w:val="18"/>
                <w:lang w:val="ro-MD" w:eastAsia="ro-MD"/>
              </w:rPr>
            </w:pPr>
            <w:r w:rsidRPr="00B266F4">
              <w:rPr>
                <w:b/>
                <w:bCs/>
                <w:sz w:val="18"/>
                <w:szCs w:val="18"/>
                <w:lang w:val="ro-MD" w:eastAsia="ro-MD"/>
              </w:rPr>
              <w:t>4.</w:t>
            </w:r>
            <w:r w:rsidRPr="00B266F4">
              <w:rPr>
                <w:sz w:val="18"/>
                <w:szCs w:val="18"/>
                <w:lang w:val="ro-MD" w:eastAsia="ro-MD"/>
              </w:rPr>
              <w:t> În cazul în care setul de compensare relevant include tranzacții care nu sunt compensate cu o contrapartidă centrală calificată, astfel cum este definită la punctul 3 din prezentul regulament, MPOR pe care băncile le pot utiliza au o durată de cel puțin 10 zile lucrătoare.”.</w:t>
            </w:r>
          </w:p>
          <w:p w14:paraId="2935CC65" w14:textId="26B35C88" w:rsidR="007C687D" w:rsidRPr="007C687D" w:rsidRDefault="007C687D" w:rsidP="007C687D">
            <w:pPr>
              <w:jc w:val="both"/>
              <w:rPr>
                <w:sz w:val="18"/>
                <w:szCs w:val="18"/>
                <w:lang w:val="ro-MD" w:eastAsia="ro-MD"/>
              </w:rPr>
            </w:pPr>
          </w:p>
        </w:tc>
        <w:tc>
          <w:tcPr>
            <w:tcW w:w="1229" w:type="dxa"/>
          </w:tcPr>
          <w:p w14:paraId="0FEF19E2" w14:textId="77777777" w:rsidR="001A4DE8" w:rsidRPr="003F5B3C" w:rsidRDefault="001A4DE8" w:rsidP="00B93C1C">
            <w:pPr>
              <w:jc w:val="both"/>
              <w:rPr>
                <w:sz w:val="18"/>
                <w:szCs w:val="18"/>
                <w:lang w:val="ro-MD"/>
              </w:rPr>
            </w:pPr>
            <w:r w:rsidRPr="003F5B3C">
              <w:rPr>
                <w:sz w:val="18"/>
                <w:szCs w:val="18"/>
                <w:lang w:val="ro-MD"/>
              </w:rPr>
              <w:lastRenderedPageBreak/>
              <w:t xml:space="preserve">Compatibil </w:t>
            </w:r>
          </w:p>
        </w:tc>
        <w:tc>
          <w:tcPr>
            <w:tcW w:w="5292" w:type="dxa"/>
            <w:tcBorders>
              <w:top w:val="single" w:sz="4" w:space="0" w:color="auto"/>
              <w:bottom w:val="single" w:sz="4" w:space="0" w:color="auto"/>
            </w:tcBorders>
          </w:tcPr>
          <w:p w14:paraId="21212DE0" w14:textId="77777777" w:rsidR="005D5F25" w:rsidRDefault="005D5F25" w:rsidP="001A4DE8">
            <w:pPr>
              <w:rPr>
                <w:sz w:val="18"/>
                <w:szCs w:val="18"/>
                <w:lang w:val="en-US"/>
              </w:rPr>
            </w:pPr>
          </w:p>
          <w:p w14:paraId="70F71C39" w14:textId="77777777" w:rsidR="005D5F25" w:rsidRDefault="005D5F25" w:rsidP="001A4DE8">
            <w:pPr>
              <w:rPr>
                <w:sz w:val="18"/>
                <w:szCs w:val="18"/>
                <w:lang w:val="en-US"/>
              </w:rPr>
            </w:pPr>
          </w:p>
          <w:p w14:paraId="26BA823A" w14:textId="77777777" w:rsidR="005D5F25" w:rsidRDefault="005D5F25" w:rsidP="001A4DE8">
            <w:pPr>
              <w:rPr>
                <w:sz w:val="18"/>
                <w:szCs w:val="18"/>
                <w:lang w:val="en-US"/>
              </w:rPr>
            </w:pPr>
          </w:p>
          <w:p w14:paraId="1416A9B1" w14:textId="706BD7ED" w:rsidR="005D5F25" w:rsidRPr="005D5F25" w:rsidRDefault="005D5F25" w:rsidP="001A4DE8">
            <w:pPr>
              <w:rPr>
                <w:sz w:val="18"/>
                <w:szCs w:val="18"/>
                <w:lang w:val="en-US"/>
              </w:rPr>
            </w:pPr>
          </w:p>
        </w:tc>
      </w:tr>
      <w:tr w:rsidR="00CA4F69" w:rsidRPr="007C687D" w14:paraId="79BF277E" w14:textId="77777777" w:rsidTr="004B10F3">
        <w:trPr>
          <w:trHeight w:val="711"/>
        </w:trPr>
        <w:tc>
          <w:tcPr>
            <w:tcW w:w="4253" w:type="dxa"/>
          </w:tcPr>
          <w:p w14:paraId="575D384F" w14:textId="77777777" w:rsidR="00CA4F69" w:rsidRPr="004B10F3" w:rsidRDefault="00CA4F69" w:rsidP="00CA4F69">
            <w:pPr>
              <w:rPr>
                <w:i/>
                <w:iCs/>
                <w:sz w:val="18"/>
                <w:szCs w:val="18"/>
                <w:lang w:val="en-US"/>
              </w:rPr>
            </w:pPr>
            <w:proofErr w:type="spellStart"/>
            <w:r w:rsidRPr="004B10F3">
              <w:rPr>
                <w:i/>
                <w:iCs/>
                <w:sz w:val="18"/>
                <w:szCs w:val="18"/>
                <w:lang w:val="en-US"/>
              </w:rPr>
              <w:t>Articolul</w:t>
            </w:r>
            <w:proofErr w:type="spellEnd"/>
            <w:r w:rsidRPr="004B10F3">
              <w:rPr>
                <w:i/>
                <w:iCs/>
                <w:sz w:val="18"/>
                <w:szCs w:val="18"/>
                <w:lang w:val="en-US"/>
              </w:rPr>
              <w:t xml:space="preserve"> 7</w:t>
            </w:r>
          </w:p>
          <w:p w14:paraId="2E461833" w14:textId="77777777" w:rsidR="00CA4F69" w:rsidRPr="004B10F3" w:rsidRDefault="00CA4F69" w:rsidP="00CA4F69">
            <w:pPr>
              <w:rPr>
                <w:b/>
                <w:bCs/>
                <w:sz w:val="18"/>
                <w:szCs w:val="18"/>
                <w:lang w:val="en-US"/>
              </w:rPr>
            </w:pPr>
            <w:proofErr w:type="spellStart"/>
            <w:r w:rsidRPr="004B10F3">
              <w:rPr>
                <w:b/>
                <w:bCs/>
                <w:sz w:val="18"/>
                <w:szCs w:val="18"/>
                <w:lang w:val="en-US"/>
              </w:rPr>
              <w:t>Intrare</w:t>
            </w:r>
            <w:proofErr w:type="spellEnd"/>
            <w:r w:rsidRPr="004B10F3">
              <w:rPr>
                <w:b/>
                <w:bCs/>
                <w:sz w:val="18"/>
                <w:szCs w:val="18"/>
                <w:lang w:val="en-US"/>
              </w:rPr>
              <w:t xml:space="preserve"> </w:t>
            </w:r>
            <w:proofErr w:type="spellStart"/>
            <w:r w:rsidRPr="004B10F3">
              <w:rPr>
                <w:b/>
                <w:bCs/>
                <w:sz w:val="18"/>
                <w:szCs w:val="18"/>
                <w:lang w:val="en-US"/>
              </w:rPr>
              <w:t>în</w:t>
            </w:r>
            <w:proofErr w:type="spellEnd"/>
            <w:r w:rsidRPr="004B10F3">
              <w:rPr>
                <w:b/>
                <w:bCs/>
                <w:sz w:val="18"/>
                <w:szCs w:val="18"/>
                <w:lang w:val="en-US"/>
              </w:rPr>
              <w:t xml:space="preserve"> </w:t>
            </w:r>
            <w:proofErr w:type="spellStart"/>
            <w:r w:rsidRPr="004B10F3">
              <w:rPr>
                <w:b/>
                <w:bCs/>
                <w:sz w:val="18"/>
                <w:szCs w:val="18"/>
                <w:lang w:val="en-US"/>
              </w:rPr>
              <w:t>vigoare</w:t>
            </w:r>
            <w:proofErr w:type="spellEnd"/>
          </w:p>
          <w:p w14:paraId="056B13C0" w14:textId="77777777" w:rsidR="00CA4F69" w:rsidRPr="004B10F3" w:rsidRDefault="00CA4F69" w:rsidP="00CA4F69">
            <w:pPr>
              <w:rPr>
                <w:sz w:val="18"/>
                <w:szCs w:val="18"/>
                <w:lang w:val="en-US"/>
              </w:rPr>
            </w:pPr>
          </w:p>
          <w:p w14:paraId="7791965F" w14:textId="15C2B415" w:rsidR="00CA4F69" w:rsidRPr="004B10F3" w:rsidRDefault="00CA4F69" w:rsidP="00CA4F69">
            <w:pPr>
              <w:rPr>
                <w:sz w:val="18"/>
                <w:szCs w:val="18"/>
                <w:lang w:val="en-US"/>
              </w:rPr>
            </w:pPr>
            <w:proofErr w:type="spellStart"/>
            <w:r w:rsidRPr="004B10F3">
              <w:rPr>
                <w:sz w:val="18"/>
                <w:szCs w:val="18"/>
                <w:lang w:val="en-US"/>
              </w:rPr>
              <w:t>Prezentul</w:t>
            </w:r>
            <w:proofErr w:type="spellEnd"/>
            <w:r w:rsidRPr="004B10F3">
              <w:rPr>
                <w:sz w:val="18"/>
                <w:szCs w:val="18"/>
                <w:lang w:val="en-US"/>
              </w:rPr>
              <w:t xml:space="preserve"> </w:t>
            </w:r>
            <w:proofErr w:type="spellStart"/>
            <w:r w:rsidRPr="004B10F3">
              <w:rPr>
                <w:sz w:val="18"/>
                <w:szCs w:val="18"/>
                <w:lang w:val="en-US"/>
              </w:rPr>
              <w:t>regulament</w:t>
            </w:r>
            <w:proofErr w:type="spellEnd"/>
            <w:r w:rsidRPr="004B10F3">
              <w:rPr>
                <w:sz w:val="18"/>
                <w:szCs w:val="18"/>
                <w:lang w:val="en-US"/>
              </w:rPr>
              <w:t xml:space="preserve"> </w:t>
            </w:r>
            <w:proofErr w:type="spellStart"/>
            <w:r w:rsidRPr="004B10F3">
              <w:rPr>
                <w:sz w:val="18"/>
                <w:szCs w:val="18"/>
                <w:lang w:val="en-US"/>
              </w:rPr>
              <w:t>intră</w:t>
            </w:r>
            <w:proofErr w:type="spellEnd"/>
            <w:r w:rsidRPr="004B10F3">
              <w:rPr>
                <w:sz w:val="18"/>
                <w:szCs w:val="18"/>
                <w:lang w:val="en-US"/>
              </w:rPr>
              <w:t xml:space="preserve"> </w:t>
            </w:r>
            <w:proofErr w:type="spellStart"/>
            <w:r w:rsidRPr="004B10F3">
              <w:rPr>
                <w:sz w:val="18"/>
                <w:szCs w:val="18"/>
                <w:lang w:val="en-US"/>
              </w:rPr>
              <w:t>în</w:t>
            </w:r>
            <w:proofErr w:type="spellEnd"/>
            <w:r w:rsidRPr="004B10F3">
              <w:rPr>
                <w:sz w:val="18"/>
                <w:szCs w:val="18"/>
                <w:lang w:val="en-US"/>
              </w:rPr>
              <w:t xml:space="preserve"> </w:t>
            </w:r>
            <w:proofErr w:type="spellStart"/>
            <w:r w:rsidRPr="004B10F3">
              <w:rPr>
                <w:sz w:val="18"/>
                <w:szCs w:val="18"/>
                <w:lang w:val="en-US"/>
              </w:rPr>
              <w:t>vigoare</w:t>
            </w:r>
            <w:proofErr w:type="spellEnd"/>
            <w:r w:rsidRPr="004B10F3">
              <w:rPr>
                <w:sz w:val="18"/>
                <w:szCs w:val="18"/>
                <w:lang w:val="en-US"/>
              </w:rPr>
              <w:t xml:space="preserve"> </w:t>
            </w:r>
            <w:proofErr w:type="spellStart"/>
            <w:r w:rsidRPr="004B10F3">
              <w:rPr>
                <w:sz w:val="18"/>
                <w:szCs w:val="18"/>
                <w:lang w:val="en-US"/>
              </w:rPr>
              <w:t>în</w:t>
            </w:r>
            <w:proofErr w:type="spellEnd"/>
            <w:r w:rsidRPr="004B10F3">
              <w:rPr>
                <w:sz w:val="18"/>
                <w:szCs w:val="18"/>
                <w:lang w:val="en-US"/>
              </w:rPr>
              <w:t xml:space="preserve"> a </w:t>
            </w:r>
            <w:proofErr w:type="spellStart"/>
            <w:r w:rsidRPr="004B10F3">
              <w:rPr>
                <w:sz w:val="18"/>
                <w:szCs w:val="18"/>
                <w:lang w:val="en-US"/>
              </w:rPr>
              <w:t>douăzecea</w:t>
            </w:r>
            <w:proofErr w:type="spellEnd"/>
            <w:r w:rsidRPr="004B10F3">
              <w:rPr>
                <w:sz w:val="18"/>
                <w:szCs w:val="18"/>
                <w:lang w:val="en-US"/>
              </w:rPr>
              <w:t xml:space="preserve"> zi de la data </w:t>
            </w:r>
            <w:proofErr w:type="spellStart"/>
            <w:r w:rsidRPr="004B10F3">
              <w:rPr>
                <w:sz w:val="18"/>
                <w:szCs w:val="18"/>
                <w:lang w:val="en-US"/>
              </w:rPr>
              <w:t>publicării</w:t>
            </w:r>
            <w:proofErr w:type="spellEnd"/>
            <w:r w:rsidRPr="004B10F3">
              <w:rPr>
                <w:sz w:val="18"/>
                <w:szCs w:val="18"/>
                <w:lang w:val="en-US"/>
              </w:rPr>
              <w:t xml:space="preserve"> </w:t>
            </w:r>
            <w:proofErr w:type="spellStart"/>
            <w:r w:rsidRPr="004B10F3">
              <w:rPr>
                <w:sz w:val="18"/>
                <w:szCs w:val="18"/>
                <w:lang w:val="en-US"/>
              </w:rPr>
              <w:t>în</w:t>
            </w:r>
            <w:proofErr w:type="spellEnd"/>
            <w:r w:rsidRPr="004B10F3">
              <w:rPr>
                <w:sz w:val="18"/>
                <w:szCs w:val="18"/>
                <w:lang w:val="en-US"/>
              </w:rPr>
              <w:t xml:space="preserve"> Jurnalul </w:t>
            </w:r>
            <w:proofErr w:type="spellStart"/>
            <w:r w:rsidRPr="004B10F3">
              <w:rPr>
                <w:sz w:val="18"/>
                <w:szCs w:val="18"/>
                <w:lang w:val="en-US"/>
              </w:rPr>
              <w:t>Oficial</w:t>
            </w:r>
            <w:proofErr w:type="spellEnd"/>
            <w:r w:rsidRPr="004B10F3">
              <w:rPr>
                <w:sz w:val="18"/>
                <w:szCs w:val="18"/>
                <w:lang w:val="en-US"/>
              </w:rPr>
              <w:t xml:space="preserve"> al </w:t>
            </w:r>
            <w:proofErr w:type="spellStart"/>
            <w:r w:rsidRPr="004B10F3">
              <w:rPr>
                <w:sz w:val="18"/>
                <w:szCs w:val="18"/>
                <w:lang w:val="en-US"/>
              </w:rPr>
              <w:t>Uniunii</w:t>
            </w:r>
            <w:proofErr w:type="spellEnd"/>
            <w:r w:rsidRPr="004B10F3">
              <w:rPr>
                <w:sz w:val="18"/>
                <w:szCs w:val="18"/>
                <w:lang w:val="en-US"/>
              </w:rPr>
              <w:t xml:space="preserve"> </w:t>
            </w:r>
            <w:proofErr w:type="spellStart"/>
            <w:r w:rsidRPr="004B10F3">
              <w:rPr>
                <w:sz w:val="18"/>
                <w:szCs w:val="18"/>
                <w:lang w:val="en-US"/>
              </w:rPr>
              <w:t>Europene</w:t>
            </w:r>
            <w:proofErr w:type="spellEnd"/>
            <w:r w:rsidRPr="004B10F3">
              <w:rPr>
                <w:sz w:val="18"/>
                <w:szCs w:val="18"/>
                <w:lang w:val="en-US"/>
              </w:rPr>
              <w:t>.</w:t>
            </w:r>
          </w:p>
          <w:p w14:paraId="2FD1F848" w14:textId="37BD0654" w:rsidR="00CA4F69" w:rsidRPr="003F5B3C" w:rsidRDefault="00CA4F69" w:rsidP="00CA4F69">
            <w:pPr>
              <w:rPr>
                <w:sz w:val="18"/>
                <w:szCs w:val="18"/>
                <w:lang w:val="en-US"/>
              </w:rPr>
            </w:pPr>
            <w:proofErr w:type="spellStart"/>
            <w:r w:rsidRPr="004B10F3">
              <w:rPr>
                <w:sz w:val="18"/>
                <w:szCs w:val="18"/>
                <w:lang w:val="en-US"/>
              </w:rPr>
              <w:t>Prezentul</w:t>
            </w:r>
            <w:proofErr w:type="spellEnd"/>
            <w:r w:rsidRPr="004B10F3">
              <w:rPr>
                <w:sz w:val="18"/>
                <w:szCs w:val="18"/>
                <w:lang w:val="en-US"/>
              </w:rPr>
              <w:t xml:space="preserve"> </w:t>
            </w:r>
            <w:proofErr w:type="spellStart"/>
            <w:r w:rsidRPr="004B10F3">
              <w:rPr>
                <w:sz w:val="18"/>
                <w:szCs w:val="18"/>
                <w:lang w:val="en-US"/>
              </w:rPr>
              <w:t>regulament</w:t>
            </w:r>
            <w:proofErr w:type="spellEnd"/>
            <w:r w:rsidRPr="004B10F3">
              <w:rPr>
                <w:sz w:val="18"/>
                <w:szCs w:val="18"/>
                <w:lang w:val="en-US"/>
              </w:rPr>
              <w:t xml:space="preserve"> </w:t>
            </w:r>
            <w:proofErr w:type="spellStart"/>
            <w:r w:rsidRPr="004B10F3">
              <w:rPr>
                <w:sz w:val="18"/>
                <w:szCs w:val="18"/>
                <w:lang w:val="en-US"/>
              </w:rPr>
              <w:t>este</w:t>
            </w:r>
            <w:proofErr w:type="spellEnd"/>
            <w:r w:rsidRPr="004B10F3">
              <w:rPr>
                <w:sz w:val="18"/>
                <w:szCs w:val="18"/>
                <w:lang w:val="en-US"/>
              </w:rPr>
              <w:t xml:space="preserve"> </w:t>
            </w:r>
            <w:proofErr w:type="spellStart"/>
            <w:r w:rsidRPr="004B10F3">
              <w:rPr>
                <w:sz w:val="18"/>
                <w:szCs w:val="18"/>
                <w:lang w:val="en-US"/>
              </w:rPr>
              <w:t>obligatoriu</w:t>
            </w:r>
            <w:proofErr w:type="spellEnd"/>
            <w:r w:rsidRPr="004B10F3">
              <w:rPr>
                <w:sz w:val="18"/>
                <w:szCs w:val="18"/>
                <w:lang w:val="en-US"/>
              </w:rPr>
              <w:t xml:space="preserve"> </w:t>
            </w:r>
            <w:proofErr w:type="spellStart"/>
            <w:r w:rsidRPr="004B10F3">
              <w:rPr>
                <w:sz w:val="18"/>
                <w:szCs w:val="18"/>
                <w:lang w:val="en-US"/>
              </w:rPr>
              <w:t>în</w:t>
            </w:r>
            <w:proofErr w:type="spellEnd"/>
            <w:r w:rsidRPr="004B10F3">
              <w:rPr>
                <w:sz w:val="18"/>
                <w:szCs w:val="18"/>
                <w:lang w:val="en-US"/>
              </w:rPr>
              <w:t xml:space="preserve"> </w:t>
            </w:r>
            <w:proofErr w:type="spellStart"/>
            <w:r w:rsidRPr="004B10F3">
              <w:rPr>
                <w:sz w:val="18"/>
                <w:szCs w:val="18"/>
                <w:lang w:val="en-US"/>
              </w:rPr>
              <w:t>toate</w:t>
            </w:r>
            <w:proofErr w:type="spellEnd"/>
            <w:r w:rsidRPr="004B10F3">
              <w:rPr>
                <w:sz w:val="18"/>
                <w:szCs w:val="18"/>
                <w:lang w:val="en-US"/>
              </w:rPr>
              <w:t xml:space="preserve"> </w:t>
            </w:r>
            <w:proofErr w:type="spellStart"/>
            <w:r w:rsidRPr="004B10F3">
              <w:rPr>
                <w:sz w:val="18"/>
                <w:szCs w:val="18"/>
                <w:lang w:val="en-US"/>
              </w:rPr>
              <w:t>elementele</w:t>
            </w:r>
            <w:proofErr w:type="spellEnd"/>
            <w:r w:rsidRPr="004B10F3">
              <w:rPr>
                <w:sz w:val="18"/>
                <w:szCs w:val="18"/>
                <w:lang w:val="en-US"/>
              </w:rPr>
              <w:t xml:space="preserve"> sale </w:t>
            </w:r>
            <w:proofErr w:type="spellStart"/>
            <w:r w:rsidRPr="004B10F3">
              <w:rPr>
                <w:sz w:val="18"/>
                <w:szCs w:val="18"/>
                <w:lang w:val="en-US"/>
              </w:rPr>
              <w:t>și</w:t>
            </w:r>
            <w:proofErr w:type="spellEnd"/>
            <w:r w:rsidRPr="004B10F3">
              <w:rPr>
                <w:sz w:val="18"/>
                <w:szCs w:val="18"/>
                <w:lang w:val="en-US"/>
              </w:rPr>
              <w:t xml:space="preserve"> se</w:t>
            </w:r>
            <w:r>
              <w:rPr>
                <w:sz w:val="18"/>
                <w:szCs w:val="18"/>
                <w:lang w:val="en-US"/>
              </w:rPr>
              <w:t xml:space="preserve"> </w:t>
            </w:r>
            <w:proofErr w:type="spellStart"/>
            <w:r w:rsidRPr="004B10F3">
              <w:rPr>
                <w:sz w:val="18"/>
                <w:szCs w:val="18"/>
                <w:lang w:val="en-US"/>
              </w:rPr>
              <w:t>aplică</w:t>
            </w:r>
            <w:proofErr w:type="spellEnd"/>
            <w:r w:rsidRPr="004B10F3">
              <w:rPr>
                <w:sz w:val="18"/>
                <w:szCs w:val="18"/>
                <w:lang w:val="en-US"/>
              </w:rPr>
              <w:t xml:space="preserve"> direct </w:t>
            </w:r>
            <w:proofErr w:type="spellStart"/>
            <w:r w:rsidRPr="004B10F3">
              <w:rPr>
                <w:sz w:val="18"/>
                <w:szCs w:val="18"/>
                <w:lang w:val="en-US"/>
              </w:rPr>
              <w:t>în</w:t>
            </w:r>
            <w:proofErr w:type="spellEnd"/>
            <w:r w:rsidRPr="004B10F3">
              <w:rPr>
                <w:sz w:val="18"/>
                <w:szCs w:val="18"/>
                <w:lang w:val="en-US"/>
              </w:rPr>
              <w:t xml:space="preserve"> </w:t>
            </w:r>
            <w:proofErr w:type="spellStart"/>
            <w:r w:rsidRPr="004B10F3">
              <w:rPr>
                <w:sz w:val="18"/>
                <w:szCs w:val="18"/>
                <w:lang w:val="en-US"/>
              </w:rPr>
              <w:t>toate</w:t>
            </w:r>
            <w:proofErr w:type="spellEnd"/>
            <w:r w:rsidRPr="004B10F3">
              <w:rPr>
                <w:sz w:val="18"/>
                <w:szCs w:val="18"/>
                <w:lang w:val="en-US"/>
              </w:rPr>
              <w:t xml:space="preserve"> </w:t>
            </w:r>
            <w:proofErr w:type="spellStart"/>
            <w:r w:rsidRPr="004B10F3">
              <w:rPr>
                <w:sz w:val="18"/>
                <w:szCs w:val="18"/>
                <w:lang w:val="en-US"/>
              </w:rPr>
              <w:t>statele</w:t>
            </w:r>
            <w:proofErr w:type="spellEnd"/>
            <w:r w:rsidRPr="004B10F3">
              <w:rPr>
                <w:sz w:val="18"/>
                <w:szCs w:val="18"/>
                <w:lang w:val="en-US"/>
              </w:rPr>
              <w:t xml:space="preserve"> </w:t>
            </w:r>
            <w:proofErr w:type="spellStart"/>
            <w:r w:rsidRPr="004B10F3">
              <w:rPr>
                <w:sz w:val="18"/>
                <w:szCs w:val="18"/>
                <w:lang w:val="en-US"/>
              </w:rPr>
              <w:t>membre</w:t>
            </w:r>
            <w:proofErr w:type="spellEnd"/>
            <w:r w:rsidRPr="004B10F3">
              <w:rPr>
                <w:sz w:val="18"/>
                <w:szCs w:val="18"/>
                <w:lang w:val="en-US"/>
              </w:rPr>
              <w:t>.</w:t>
            </w:r>
          </w:p>
        </w:tc>
        <w:tc>
          <w:tcPr>
            <w:tcW w:w="3685" w:type="dxa"/>
          </w:tcPr>
          <w:p w14:paraId="252EA9F1" w14:textId="77777777" w:rsidR="00CA4F69" w:rsidRPr="003F5B3C" w:rsidRDefault="00CA4F69" w:rsidP="00CA4F69">
            <w:pPr>
              <w:tabs>
                <w:tab w:val="left" w:pos="540"/>
              </w:tabs>
              <w:ind w:left="-43"/>
              <w:jc w:val="both"/>
              <w:rPr>
                <w:b/>
                <w:bCs/>
                <w:sz w:val="18"/>
                <w:szCs w:val="18"/>
                <w:lang w:val="ro-MD"/>
              </w:rPr>
            </w:pPr>
          </w:p>
        </w:tc>
        <w:tc>
          <w:tcPr>
            <w:tcW w:w="1229" w:type="dxa"/>
          </w:tcPr>
          <w:p w14:paraId="0A3A367B" w14:textId="79FAB3F2" w:rsidR="00CA4F69" w:rsidRPr="003F5B3C" w:rsidRDefault="005726BC" w:rsidP="00CA4F69">
            <w:pPr>
              <w:jc w:val="both"/>
              <w:rPr>
                <w:sz w:val="18"/>
                <w:szCs w:val="18"/>
                <w:lang w:val="ro-MD"/>
              </w:rPr>
            </w:pPr>
            <w:proofErr w:type="spellStart"/>
            <w:r>
              <w:rPr>
                <w:sz w:val="20"/>
                <w:szCs w:val="20"/>
              </w:rPr>
              <w:t>Norme</w:t>
            </w:r>
            <w:proofErr w:type="spellEnd"/>
            <w:r>
              <w:rPr>
                <w:sz w:val="20"/>
                <w:szCs w:val="20"/>
              </w:rPr>
              <w:t xml:space="preserve"> UE </w:t>
            </w:r>
            <w:proofErr w:type="spellStart"/>
            <w:r>
              <w:rPr>
                <w:sz w:val="20"/>
                <w:szCs w:val="20"/>
              </w:rPr>
              <w:t>neaplicabile</w:t>
            </w:r>
            <w:proofErr w:type="spellEnd"/>
          </w:p>
        </w:tc>
        <w:tc>
          <w:tcPr>
            <w:tcW w:w="5292" w:type="dxa"/>
            <w:tcBorders>
              <w:top w:val="single" w:sz="4" w:space="0" w:color="auto"/>
              <w:bottom w:val="single" w:sz="4" w:space="0" w:color="auto"/>
            </w:tcBorders>
          </w:tcPr>
          <w:p w14:paraId="5F4B9EB6" w14:textId="2F9008D0" w:rsidR="00CA4F69" w:rsidRPr="003F5B3C" w:rsidRDefault="00CA4F69" w:rsidP="00CA4F69">
            <w:pPr>
              <w:jc w:val="both"/>
              <w:rPr>
                <w:sz w:val="18"/>
                <w:szCs w:val="18"/>
                <w:lang w:val="ro-MD"/>
              </w:rPr>
            </w:pPr>
          </w:p>
        </w:tc>
      </w:tr>
    </w:tbl>
    <w:p w14:paraId="34BD39BE" w14:textId="77777777" w:rsidR="00493520" w:rsidRPr="003F5B3C" w:rsidRDefault="00493520">
      <w:pPr>
        <w:rPr>
          <w:sz w:val="18"/>
          <w:szCs w:val="18"/>
          <w:lang w:val="ro-MD"/>
        </w:rPr>
      </w:pPr>
    </w:p>
    <w:sectPr w:rsidR="00493520" w:rsidRPr="003F5B3C" w:rsidSect="00580696">
      <w:headerReference w:type="even" r:id="rId12"/>
      <w:headerReference w:type="default" r:id="rId13"/>
      <w:footerReference w:type="even" r:id="rId14"/>
      <w:footerReference w:type="default" r:id="rId15"/>
      <w:pgSz w:w="16838" w:h="11906" w:orient="landscape" w:code="9"/>
      <w:pgMar w:top="902" w:right="1134" w:bottom="53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7F438" w14:textId="77777777" w:rsidR="005749B5" w:rsidRDefault="005749B5" w:rsidP="00525701">
      <w:r>
        <w:separator/>
      </w:r>
    </w:p>
  </w:endnote>
  <w:endnote w:type="continuationSeparator" w:id="0">
    <w:p w14:paraId="193FFF15" w14:textId="77777777" w:rsidR="005749B5" w:rsidRDefault="005749B5" w:rsidP="0052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ermianSerifTypeface">
    <w:panose1 w:val="02000000000000000000"/>
    <w:charset w:val="CC"/>
    <w:family w:val="auto"/>
    <w:pitch w:val="variable"/>
    <w:sig w:usb0="A000022F" w:usb1="4000A46A" w:usb2="00000000" w:usb3="00000000" w:csb0="00000007"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PermianSansTypeface">
    <w:panose1 w:val="02000000000000000000"/>
    <w:charset w:val="CC"/>
    <w:family w:val="auto"/>
    <w:pitch w:val="variable"/>
    <w:sig w:usb0="A000022F" w:usb1="4000A07A"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6A45" w14:textId="77777777" w:rsidR="00494263" w:rsidRDefault="00494263" w:rsidP="00525701">
    <w:pPr>
      <w:pStyle w:val="Footer"/>
      <w:framePr w:wrap="around" w:vAnchor="text" w:hAnchor="margin" w:xAlign="right" w:y="1"/>
      <w:jc w:val="center"/>
      <w:rPr>
        <w:rStyle w:val="PageNumber"/>
        <w:rFonts w:ascii="PermianSansTypeface" w:hAnsi="PermianSansTypeface"/>
        <w:b/>
        <w:color w:val="000000"/>
        <w:sz w:val="16"/>
        <w:lang w:val="en-US"/>
      </w:rPr>
    </w:pPr>
    <w:bookmarkStart w:id="3" w:name="TITUS1FooterEvenPages"/>
    <w:r>
      <w:rPr>
        <w:rStyle w:val="PageNumber"/>
        <w:rFonts w:ascii="PermianSansTypeface" w:hAnsi="PermianSansTypeface"/>
        <w:b/>
        <w:color w:val="000000"/>
        <w:sz w:val="16"/>
        <w:lang w:val="en-US"/>
      </w:rPr>
      <w:t xml:space="preserve"> </w:t>
    </w:r>
  </w:p>
  <w:p w14:paraId="127BC186" w14:textId="77777777" w:rsidR="00494263" w:rsidRDefault="00494263" w:rsidP="00525701">
    <w:pPr>
      <w:pStyle w:val="Footer"/>
      <w:framePr w:wrap="around" w:vAnchor="text" w:hAnchor="margin" w:xAlign="right" w:y="1"/>
      <w:rPr>
        <w:rStyle w:val="PageNumber"/>
        <w:rFonts w:ascii="PermianSansTypeface" w:hAnsi="PermianSansTypeface"/>
        <w:b/>
        <w:color w:val="000000"/>
        <w:sz w:val="16"/>
        <w:lang w:val="en-US"/>
      </w:rPr>
    </w:pPr>
    <w:r>
      <w:rPr>
        <w:rStyle w:val="PageNumber"/>
        <w:rFonts w:ascii="PermianSansTypeface" w:hAnsi="PermianSansTypeface"/>
        <w:b/>
        <w:color w:val="000000"/>
        <w:sz w:val="16"/>
        <w:lang w:val="en-US"/>
      </w:rPr>
      <w:t xml:space="preserve"> </w:t>
    </w:r>
  </w:p>
  <w:bookmarkEnd w:id="3"/>
  <w:p w14:paraId="30BBDDBD" w14:textId="77777777" w:rsidR="00494263" w:rsidRPr="00084C0C" w:rsidRDefault="00494263" w:rsidP="00525701">
    <w:pPr>
      <w:pStyle w:val="Footer"/>
      <w:framePr w:wrap="around" w:vAnchor="text" w:hAnchor="margin" w:xAlign="right" w:y="1"/>
      <w:jc w:val="center"/>
      <w:rPr>
        <w:rStyle w:val="PageNumber"/>
        <w:rFonts w:ascii="PermianSansTypeface" w:hAnsi="PermianSansTypeface"/>
        <w:b/>
        <w:color w:val="000000"/>
        <w:sz w:val="16"/>
        <w:lang w:val="en-US"/>
      </w:rPr>
    </w:pPr>
  </w:p>
  <w:p w14:paraId="6D270E1A" w14:textId="4A708E25" w:rsidR="00494263" w:rsidRPr="00580696" w:rsidRDefault="00494263" w:rsidP="00580696">
    <w:pPr>
      <w:pStyle w:val="Footer"/>
      <w:framePr w:wrap="around" w:vAnchor="text" w:hAnchor="margin" w:xAlign="right" w:y="1"/>
      <w:rPr>
        <w:lang w:val="ro-MD"/>
      </w:rPr>
    </w:pPr>
  </w:p>
  <w:p w14:paraId="0E54F150" w14:textId="77777777" w:rsidR="00494263" w:rsidRDefault="00494263" w:rsidP="005F3A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970866"/>
      <w:docPartObj>
        <w:docPartGallery w:val="Page Numbers (Bottom of Page)"/>
        <w:docPartUnique/>
      </w:docPartObj>
    </w:sdtPr>
    <w:sdtEndPr>
      <w:rPr>
        <w:noProof/>
      </w:rPr>
    </w:sdtEndPr>
    <w:sdtContent>
      <w:p w14:paraId="31DDA841" w14:textId="59F5F3F0" w:rsidR="00580696" w:rsidRDefault="005806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2B9BF7" w14:textId="77777777" w:rsidR="00494263" w:rsidRDefault="00494263" w:rsidP="005F3A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EE40B" w14:textId="77777777" w:rsidR="005749B5" w:rsidRDefault="005749B5" w:rsidP="00525701">
      <w:r>
        <w:separator/>
      </w:r>
    </w:p>
  </w:footnote>
  <w:footnote w:type="continuationSeparator" w:id="0">
    <w:p w14:paraId="6D6DDCD5" w14:textId="77777777" w:rsidR="005749B5" w:rsidRDefault="005749B5" w:rsidP="00525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09F6" w14:textId="77777777" w:rsidR="00494263" w:rsidRDefault="00494263" w:rsidP="00525701">
    <w:pPr>
      <w:pStyle w:val="Header"/>
      <w:jc w:val="right"/>
    </w:pPr>
    <w:bookmarkStart w:id="1" w:name="TITUS1HeaderEvenPages"/>
    <w:r>
      <w:t xml:space="preserve"> </w:t>
    </w:r>
  </w:p>
  <w:bookmarkEnd w:id="1"/>
  <w:p w14:paraId="2EA8E714" w14:textId="77777777" w:rsidR="00494263" w:rsidRDefault="00494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0E51" w14:textId="77777777" w:rsidR="00494263" w:rsidRDefault="00494263" w:rsidP="00525701">
    <w:pPr>
      <w:pStyle w:val="Header"/>
      <w:jc w:val="right"/>
    </w:pPr>
    <w:bookmarkStart w:id="2" w:name="TITUS1HeaderPrimary"/>
    <w:r>
      <w:t xml:space="preserve"> </w:t>
    </w:r>
  </w:p>
  <w:bookmarkEnd w:id="2"/>
  <w:p w14:paraId="7E223774" w14:textId="77777777" w:rsidR="00494263" w:rsidRDefault="00494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DC3"/>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25116AF"/>
    <w:multiLevelType w:val="hybridMultilevel"/>
    <w:tmpl w:val="E002427A"/>
    <w:lvl w:ilvl="0" w:tplc="0818000F">
      <w:start w:val="3"/>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4282E59"/>
    <w:multiLevelType w:val="hybridMultilevel"/>
    <w:tmpl w:val="047C6CCC"/>
    <w:lvl w:ilvl="0" w:tplc="0818000F">
      <w:start w:val="6"/>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5D90F33"/>
    <w:multiLevelType w:val="hybridMultilevel"/>
    <w:tmpl w:val="A25C190C"/>
    <w:lvl w:ilvl="0" w:tplc="4E5EE05E">
      <w:start w:val="59"/>
      <w:numFmt w:val="decimal"/>
      <w:lvlText w:val="%1."/>
      <w:lvlJc w:val="left"/>
      <w:pPr>
        <w:ind w:left="720" w:hanging="360"/>
      </w:pPr>
      <w:rPr>
        <w:rFonts w:hint="default"/>
        <w:b w:val="0"/>
        <w:color w:val="auto"/>
      </w:rPr>
    </w:lvl>
    <w:lvl w:ilvl="1" w:tplc="21F895A0">
      <w:start w:val="1"/>
      <w:numFmt w:val="decimal"/>
      <w:lvlText w:val="%2)"/>
      <w:lvlJc w:val="left"/>
      <w:pPr>
        <w:ind w:left="1440" w:hanging="360"/>
      </w:pPr>
      <w:rPr>
        <w:rFonts w:ascii="Times New Roman" w:eastAsia="Times New Roman" w:hAnsi="Times New Roman" w:cs="Times New Roman"/>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B01DF"/>
    <w:multiLevelType w:val="hybridMultilevel"/>
    <w:tmpl w:val="C4F43676"/>
    <w:lvl w:ilvl="0" w:tplc="C0481B90">
      <w:start w:val="1"/>
      <w:numFmt w:val="decimal"/>
      <w:lvlText w:val="%1."/>
      <w:lvlJc w:val="left"/>
      <w:pPr>
        <w:ind w:left="720" w:hanging="360"/>
      </w:pPr>
      <w:rPr>
        <w:rFonts w:ascii="PermianSerifTypeface" w:eastAsia="Arial Unicode MS" w:hAnsi="PermianSerifTypeface" w:hint="default"/>
        <w:color w:val="0000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A2FD2"/>
    <w:multiLevelType w:val="hybridMultilevel"/>
    <w:tmpl w:val="98961EE8"/>
    <w:lvl w:ilvl="0" w:tplc="ACD864E2">
      <w:start w:val="2"/>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6" w15:restartNumberingAfterBreak="0">
    <w:nsid w:val="0DA645AE"/>
    <w:multiLevelType w:val="hybridMultilevel"/>
    <w:tmpl w:val="D80AA2D2"/>
    <w:lvl w:ilvl="0" w:tplc="FD625DB6">
      <w:start w:val="22"/>
      <w:numFmt w:val="decimal"/>
      <w:lvlText w:val="%1."/>
      <w:lvlJc w:val="left"/>
      <w:pPr>
        <w:ind w:left="720" w:hanging="360"/>
      </w:pPr>
      <w:rPr>
        <w:rFonts w:ascii="Times New Roman" w:hAnsi="Times New Roman" w:cs="Times New Roman" w:hint="default"/>
        <w:i w:val="0"/>
        <w:color w:val="auto"/>
        <w:sz w:val="18"/>
        <w:szCs w:val="18"/>
      </w:rPr>
    </w:lvl>
    <w:lvl w:ilvl="1" w:tplc="579C78DA">
      <w:start w:val="1"/>
      <w:numFmt w:val="decimal"/>
      <w:lvlText w:val="%2)"/>
      <w:lvlJc w:val="left"/>
      <w:pPr>
        <w:ind w:left="1440" w:hanging="360"/>
      </w:pPr>
      <w:rPr>
        <w:rFonts w:ascii="Times New Roman" w:eastAsia="Times New Roman" w:hAnsi="Times New Roman" w:cs="Times New Roman"/>
        <w:i w:val="0"/>
        <w:color w:val="auto"/>
      </w:rPr>
    </w:lvl>
    <w:lvl w:ilvl="2" w:tplc="D4EAC1A8">
      <w:start w:val="1"/>
      <w:numFmt w:val="lowerLetter"/>
      <w:lvlText w:val="%3)"/>
      <w:lvlJc w:val="right"/>
      <w:pPr>
        <w:ind w:left="2160" w:hanging="180"/>
      </w:pPr>
      <w:rPr>
        <w:rFonts w:ascii="Times New Roman" w:eastAsia="Times New Roman" w:hAnsi="Times New Roman" w:cs="Times New Roman"/>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B0EFB"/>
    <w:multiLevelType w:val="hybridMultilevel"/>
    <w:tmpl w:val="973EC0B0"/>
    <w:lvl w:ilvl="0" w:tplc="FEF0DD8A">
      <w:start w:val="1"/>
      <w:numFmt w:val="decimal"/>
      <w:lvlText w:val="%1."/>
      <w:lvlJc w:val="left"/>
      <w:pPr>
        <w:ind w:left="720" w:hanging="360"/>
      </w:pPr>
      <w:rPr>
        <w:rFonts w:eastAsia="Arial Unicode M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17CE7E92"/>
    <w:multiLevelType w:val="hybridMultilevel"/>
    <w:tmpl w:val="DC16BD1C"/>
    <w:lvl w:ilvl="0" w:tplc="4FD03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B6B3B"/>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1A515455"/>
    <w:multiLevelType w:val="hybridMultilevel"/>
    <w:tmpl w:val="FF8E726C"/>
    <w:lvl w:ilvl="0" w:tplc="FCE47E40">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BEC57D0"/>
    <w:multiLevelType w:val="hybridMultilevel"/>
    <w:tmpl w:val="C716275A"/>
    <w:lvl w:ilvl="0" w:tplc="2CDEC0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044A1"/>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3F52A25"/>
    <w:multiLevelType w:val="hybridMultilevel"/>
    <w:tmpl w:val="FA3460EA"/>
    <w:lvl w:ilvl="0" w:tplc="DD280728">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A5D65"/>
    <w:multiLevelType w:val="hybridMultilevel"/>
    <w:tmpl w:val="877AE5F4"/>
    <w:lvl w:ilvl="0" w:tplc="FFFFFFFF">
      <w:start w:val="1"/>
      <w:numFmt w:val="decimal"/>
      <w:lvlText w:val="%1."/>
      <w:lvlJc w:val="left"/>
      <w:pPr>
        <w:ind w:left="720" w:hanging="360"/>
      </w:pPr>
      <w:rPr>
        <w:rFonts w:ascii="Times New Roman" w:hAnsi="Times New Roman" w:cs="Times New Roman" w:hint="default"/>
        <w:b w:val="0"/>
        <w:bCs/>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start w:val="8"/>
      <w:numFmt w:val="bullet"/>
      <w:lvlText w:val="-"/>
      <w:lvlJc w:val="left"/>
      <w:pPr>
        <w:ind w:left="2880" w:hanging="360"/>
      </w:pPr>
      <w:rPr>
        <w:rFonts w:ascii="Times New Roman" w:eastAsiaTheme="minorHAnsi"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D32F71"/>
    <w:multiLevelType w:val="hybridMultilevel"/>
    <w:tmpl w:val="877AE5F4"/>
    <w:lvl w:ilvl="0" w:tplc="FFFFFFFF">
      <w:start w:val="1"/>
      <w:numFmt w:val="decimal"/>
      <w:lvlText w:val="%1."/>
      <w:lvlJc w:val="left"/>
      <w:pPr>
        <w:ind w:left="720" w:hanging="360"/>
      </w:pPr>
      <w:rPr>
        <w:rFonts w:ascii="Times New Roman" w:hAnsi="Times New Roman" w:cs="Times New Roman" w:hint="default"/>
        <w:b w:val="0"/>
        <w:bCs/>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start w:val="8"/>
      <w:numFmt w:val="bullet"/>
      <w:lvlText w:val="-"/>
      <w:lvlJc w:val="left"/>
      <w:pPr>
        <w:ind w:left="2880" w:hanging="360"/>
      </w:pPr>
      <w:rPr>
        <w:rFonts w:ascii="Times New Roman" w:eastAsiaTheme="minorHAnsi"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3A0BC7"/>
    <w:multiLevelType w:val="hybridMultilevel"/>
    <w:tmpl w:val="D4E60A40"/>
    <w:lvl w:ilvl="0" w:tplc="9B4C4A6E">
      <w:start w:val="20"/>
      <w:numFmt w:val="decimal"/>
      <w:lvlText w:val="%1."/>
      <w:lvlJc w:val="left"/>
      <w:pPr>
        <w:ind w:left="1713" w:hanging="360"/>
      </w:pPr>
      <w:rPr>
        <w:rFonts w:hint="default"/>
        <w:color w:val="auto"/>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 w15:restartNumberingAfterBreak="0">
    <w:nsid w:val="37655A75"/>
    <w:multiLevelType w:val="hybridMultilevel"/>
    <w:tmpl w:val="9EBC1CB8"/>
    <w:lvl w:ilvl="0" w:tplc="BF5229A8">
      <w:start w:val="1"/>
      <w:numFmt w:val="decimal"/>
      <w:lvlText w:val="%1)"/>
      <w:lvlJc w:val="left"/>
      <w:pPr>
        <w:ind w:left="2007" w:hanging="360"/>
      </w:pPr>
      <w:rPr>
        <w:rFonts w:eastAsia="Times New Roman" w:hint="default"/>
        <w:i w:val="0"/>
        <w:color w:val="auto"/>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8" w15:restartNumberingAfterBreak="0">
    <w:nsid w:val="39D027B0"/>
    <w:multiLevelType w:val="hybridMultilevel"/>
    <w:tmpl w:val="C248C286"/>
    <w:lvl w:ilvl="0" w:tplc="08180011">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start w:val="8"/>
      <w:numFmt w:val="bullet"/>
      <w:lvlText w:val="-"/>
      <w:lvlJc w:val="left"/>
      <w:pPr>
        <w:ind w:left="2880" w:hanging="360"/>
      </w:pPr>
      <w:rPr>
        <w:rFonts w:ascii="Times New Roman" w:eastAsiaTheme="minorHAnsi"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6E254C"/>
    <w:multiLevelType w:val="hybridMultilevel"/>
    <w:tmpl w:val="1D7C9C78"/>
    <w:lvl w:ilvl="0" w:tplc="0016987A">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52781"/>
    <w:multiLevelType w:val="hybridMultilevel"/>
    <w:tmpl w:val="C00287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1224F"/>
    <w:multiLevelType w:val="hybridMultilevel"/>
    <w:tmpl w:val="6082C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47610"/>
    <w:multiLevelType w:val="hybridMultilevel"/>
    <w:tmpl w:val="3F56283C"/>
    <w:lvl w:ilvl="0" w:tplc="4DE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3950DB"/>
    <w:multiLevelType w:val="hybridMultilevel"/>
    <w:tmpl w:val="AC9A2A24"/>
    <w:lvl w:ilvl="0" w:tplc="0A98DD84">
      <w:start w:val="4"/>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987E5A"/>
    <w:multiLevelType w:val="multilevel"/>
    <w:tmpl w:val="7054C942"/>
    <w:lvl w:ilvl="0">
      <w:start w:val="1"/>
      <w:numFmt w:val="upperRoman"/>
      <w:pStyle w:val="Heading5"/>
      <w:lvlText w:val="%1."/>
      <w:legacy w:legacy="1" w:legacySpace="0" w:legacyIndent="720"/>
      <w:lvlJc w:val="left"/>
      <w:pPr>
        <w:ind w:left="720" w:hanging="720"/>
      </w:pPr>
      <w:rPr>
        <w:rFonts w:ascii="Times New Roman" w:hAnsi="Times New Roman" w:hint="default"/>
        <w:b/>
        <w:i w:val="0"/>
        <w:sz w:val="30"/>
        <w:u w:val="none"/>
      </w:rPr>
    </w:lvl>
    <w:lvl w:ilvl="1">
      <w:start w:val="1"/>
      <w:numFmt w:val="upperLetter"/>
      <w:lvlText w:val="%2."/>
      <w:legacy w:legacy="1" w:legacySpace="0" w:legacyIndent="720"/>
      <w:lvlJc w:val="left"/>
      <w:pPr>
        <w:ind w:left="1440" w:hanging="720"/>
      </w:pPr>
      <w:rPr>
        <w:rFonts w:ascii="Times New Roman" w:hAnsi="Times New Roman" w:hint="default"/>
        <w:b/>
        <w:i w:val="0"/>
        <w:sz w:val="30"/>
      </w:rPr>
    </w:lvl>
    <w:lvl w:ilvl="2">
      <w:start w:val="1"/>
      <w:numFmt w:val="decimal"/>
      <w:lvlText w:val="%3."/>
      <w:legacy w:legacy="1" w:legacySpace="0" w:legacyIndent="720"/>
      <w:lvlJc w:val="left"/>
      <w:pPr>
        <w:ind w:left="2160" w:hanging="720"/>
      </w:pPr>
      <w:rPr>
        <w:rFonts w:ascii="Times New Roman" w:hAnsi="Times New Roman" w:hint="default"/>
        <w:b/>
        <w:i w:val="0"/>
        <w:sz w:val="30"/>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rPr>
        <w:rFonts w:ascii="Times New Roman" w:hAnsi="Times New Roman" w:hint="default"/>
        <w:b/>
        <w:i w:val="0"/>
        <w:sz w:val="28"/>
      </w:rPr>
    </w:lvl>
    <w:lvl w:ilvl="5">
      <w:start w:val="1"/>
      <w:numFmt w:val="lowerLetter"/>
      <w:lvlText w:val="(%6)"/>
      <w:legacy w:legacy="1" w:legacySpace="0" w:legacyIndent="720"/>
      <w:lvlJc w:val="left"/>
      <w:pPr>
        <w:ind w:left="4320" w:hanging="720"/>
      </w:pPr>
      <w:rPr>
        <w:rFonts w:ascii="Times New Roman" w:hAnsi="Times New Roman" w:hint="default"/>
        <w:b/>
        <w:i w:val="0"/>
        <w:sz w:val="28"/>
      </w:rPr>
    </w:lvl>
    <w:lvl w:ilvl="6">
      <w:start w:val="1"/>
      <w:numFmt w:val="lowerRoman"/>
      <w:lvlText w:val="(%7)"/>
      <w:legacy w:legacy="1" w:legacySpace="0" w:legacyIndent="720"/>
      <w:lvlJc w:val="left"/>
      <w:pPr>
        <w:ind w:left="5040" w:hanging="720"/>
      </w:pPr>
      <w:rPr>
        <w:rFonts w:ascii="Times New Roman" w:hAnsi="Times New Roman" w:hint="default"/>
        <w:b/>
        <w:i w:val="0"/>
        <w:sz w:val="28"/>
      </w:r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15:restartNumberingAfterBreak="0">
    <w:nsid w:val="56292CD8"/>
    <w:multiLevelType w:val="hybridMultilevel"/>
    <w:tmpl w:val="694AB5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F3493"/>
    <w:multiLevelType w:val="hybridMultilevel"/>
    <w:tmpl w:val="35C098D6"/>
    <w:lvl w:ilvl="0" w:tplc="6548E13C">
      <w:start w:val="1"/>
      <w:numFmt w:val="decimal"/>
      <w:lvlText w:val="%1."/>
      <w:lvlJc w:val="left"/>
      <w:pPr>
        <w:ind w:left="720" w:hanging="360"/>
      </w:pPr>
      <w:rPr>
        <w:i w:val="0"/>
        <w:color w:val="auto"/>
        <w:sz w:val="24"/>
        <w:szCs w:val="24"/>
      </w:rPr>
    </w:lvl>
    <w:lvl w:ilvl="1" w:tplc="EC32B7BA">
      <w:start w:val="1"/>
      <w:numFmt w:val="lowerLetter"/>
      <w:lvlText w:val="%2."/>
      <w:lvlJc w:val="left"/>
      <w:pPr>
        <w:ind w:left="1440" w:hanging="360"/>
      </w:pPr>
      <w:rPr>
        <w:color w:val="auto"/>
      </w:rPr>
    </w:lvl>
    <w:lvl w:ilvl="2" w:tplc="5490AFDA">
      <w:start w:val="39"/>
      <w:numFmt w:val="bullet"/>
      <w:lvlText w:val=""/>
      <w:lvlJc w:val="left"/>
      <w:pPr>
        <w:ind w:left="2340" w:hanging="360"/>
      </w:pPr>
      <w:rPr>
        <w:rFonts w:ascii="Wingdings" w:eastAsia="Arial Unicode MS"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3C732F"/>
    <w:multiLevelType w:val="hybridMultilevel"/>
    <w:tmpl w:val="049E71DE"/>
    <w:lvl w:ilvl="0" w:tplc="5726C95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66A46550"/>
    <w:multiLevelType w:val="hybridMultilevel"/>
    <w:tmpl w:val="877AE5F4"/>
    <w:lvl w:ilvl="0" w:tplc="690ECA82">
      <w:start w:val="1"/>
      <w:numFmt w:val="decimal"/>
      <w:lvlText w:val="%1."/>
      <w:lvlJc w:val="left"/>
      <w:pPr>
        <w:ind w:left="720" w:hanging="360"/>
      </w:pPr>
      <w:rPr>
        <w:rFonts w:ascii="Times New Roman" w:hAnsi="Times New Roman" w:cs="Times New Roman" w:hint="default"/>
        <w:b w:val="0"/>
        <w:bCs/>
      </w:rPr>
    </w:lvl>
    <w:lvl w:ilvl="1" w:tplc="91306EC4">
      <w:start w:val="1"/>
      <w:numFmt w:val="decimal"/>
      <w:lvlText w:val="%2)"/>
      <w:lvlJc w:val="left"/>
      <w:pPr>
        <w:ind w:left="1440" w:hanging="360"/>
      </w:pPr>
      <w:rPr>
        <w:rFonts w:hint="default"/>
      </w:rPr>
    </w:lvl>
    <w:lvl w:ilvl="2" w:tplc="BEDC7B26">
      <w:start w:val="1"/>
      <w:numFmt w:val="lowerLetter"/>
      <w:lvlText w:val="%3)"/>
      <w:lvlJc w:val="left"/>
      <w:pPr>
        <w:ind w:left="2340" w:hanging="360"/>
      </w:pPr>
      <w:rPr>
        <w:rFonts w:hint="default"/>
      </w:rPr>
    </w:lvl>
    <w:lvl w:ilvl="3" w:tplc="E956342A">
      <w:start w:val="8"/>
      <w:numFmt w:val="bullet"/>
      <w:lvlText w:val="-"/>
      <w:lvlJc w:val="left"/>
      <w:pPr>
        <w:ind w:left="2880" w:hanging="360"/>
      </w:pPr>
      <w:rPr>
        <w:rFonts w:ascii="Times New Roman" w:eastAsiaTheme="minorHAnsi" w:hAnsi="Times New Roman" w:cs="Times New Roman" w:hint="default"/>
      </w:r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6F4E5515"/>
    <w:multiLevelType w:val="hybridMultilevel"/>
    <w:tmpl w:val="5108293E"/>
    <w:lvl w:ilvl="0" w:tplc="1F00BAAE">
      <w:start w:val="1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707510B5"/>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78EF43DD"/>
    <w:multiLevelType w:val="hybridMultilevel"/>
    <w:tmpl w:val="F0BE490E"/>
    <w:lvl w:ilvl="0" w:tplc="33B6187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074817"/>
    <w:multiLevelType w:val="hybridMultilevel"/>
    <w:tmpl w:val="A4725B6C"/>
    <w:lvl w:ilvl="0" w:tplc="AF0E428E">
      <w:start w:val="8"/>
      <w:numFmt w:val="decimal"/>
      <w:lvlText w:val="%1."/>
      <w:lvlJc w:val="left"/>
      <w:pPr>
        <w:ind w:left="1353" w:hanging="360"/>
      </w:pPr>
      <w:rPr>
        <w:rFonts w:hint="default"/>
        <w:i w:val="0"/>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3" w15:restartNumberingAfterBreak="0">
    <w:nsid w:val="7AE90A2A"/>
    <w:multiLevelType w:val="multilevel"/>
    <w:tmpl w:val="47C4C132"/>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390885044">
    <w:abstractNumId w:val="24"/>
  </w:num>
  <w:num w:numId="2" w16cid:durableId="1281303259">
    <w:abstractNumId w:val="4"/>
  </w:num>
  <w:num w:numId="3" w16cid:durableId="2111655017">
    <w:abstractNumId w:val="11"/>
  </w:num>
  <w:num w:numId="4" w16cid:durableId="221985756">
    <w:abstractNumId w:val="13"/>
  </w:num>
  <w:num w:numId="5" w16cid:durableId="1562212201">
    <w:abstractNumId w:val="9"/>
  </w:num>
  <w:num w:numId="6" w16cid:durableId="1918401064">
    <w:abstractNumId w:val="23"/>
  </w:num>
  <w:num w:numId="7" w16cid:durableId="2075425383">
    <w:abstractNumId w:val="21"/>
  </w:num>
  <w:num w:numId="8" w16cid:durableId="1466115833">
    <w:abstractNumId w:val="20"/>
  </w:num>
  <w:num w:numId="9" w16cid:durableId="1720474486">
    <w:abstractNumId w:val="31"/>
  </w:num>
  <w:num w:numId="10" w16cid:durableId="65225206">
    <w:abstractNumId w:val="10"/>
  </w:num>
  <w:num w:numId="11" w16cid:durableId="491340404">
    <w:abstractNumId w:val="32"/>
  </w:num>
  <w:num w:numId="12" w16cid:durableId="184750809">
    <w:abstractNumId w:val="5"/>
  </w:num>
  <w:num w:numId="13" w16cid:durableId="1764256060">
    <w:abstractNumId w:val="16"/>
  </w:num>
  <w:num w:numId="14" w16cid:durableId="224682862">
    <w:abstractNumId w:val="6"/>
  </w:num>
  <w:num w:numId="15" w16cid:durableId="510031345">
    <w:abstractNumId w:val="8"/>
  </w:num>
  <w:num w:numId="16" w16cid:durableId="1006981231">
    <w:abstractNumId w:val="22"/>
  </w:num>
  <w:num w:numId="17" w16cid:durableId="1926382253">
    <w:abstractNumId w:val="27"/>
  </w:num>
  <w:num w:numId="18" w16cid:durableId="1241713063">
    <w:abstractNumId w:val="26"/>
  </w:num>
  <w:num w:numId="19" w16cid:durableId="1439905714">
    <w:abstractNumId w:val="29"/>
  </w:num>
  <w:num w:numId="20" w16cid:durableId="543374166">
    <w:abstractNumId w:val="3"/>
  </w:num>
  <w:num w:numId="21" w16cid:durableId="976297114">
    <w:abstractNumId w:val="17"/>
  </w:num>
  <w:num w:numId="22" w16cid:durableId="593055656">
    <w:abstractNumId w:val="25"/>
  </w:num>
  <w:num w:numId="23" w16cid:durableId="630792302">
    <w:abstractNumId w:val="0"/>
  </w:num>
  <w:num w:numId="24" w16cid:durableId="1337079218">
    <w:abstractNumId w:val="30"/>
  </w:num>
  <w:num w:numId="25" w16cid:durableId="520241099">
    <w:abstractNumId w:val="12"/>
  </w:num>
  <w:num w:numId="26" w16cid:durableId="1684744183">
    <w:abstractNumId w:val="19"/>
  </w:num>
  <w:num w:numId="27" w16cid:durableId="1415207291">
    <w:abstractNumId w:val="7"/>
  </w:num>
  <w:num w:numId="28" w16cid:durableId="1847402393">
    <w:abstractNumId w:val="28"/>
  </w:num>
  <w:num w:numId="29" w16cid:durableId="1170215710">
    <w:abstractNumId w:val="18"/>
  </w:num>
  <w:num w:numId="30" w16cid:durableId="175770609">
    <w:abstractNumId w:val="33"/>
  </w:num>
  <w:num w:numId="31" w16cid:durableId="1110012038">
    <w:abstractNumId w:val="15"/>
  </w:num>
  <w:num w:numId="32" w16cid:durableId="586695346">
    <w:abstractNumId w:val="1"/>
  </w:num>
  <w:num w:numId="33" w16cid:durableId="158617725">
    <w:abstractNumId w:val="2"/>
  </w:num>
  <w:num w:numId="34" w16cid:durableId="121723221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A73"/>
    <w:rsid w:val="00001D9C"/>
    <w:rsid w:val="00002413"/>
    <w:rsid w:val="00003AF8"/>
    <w:rsid w:val="00010D81"/>
    <w:rsid w:val="000158D2"/>
    <w:rsid w:val="00015F07"/>
    <w:rsid w:val="00016ADF"/>
    <w:rsid w:val="0001798B"/>
    <w:rsid w:val="00024F5D"/>
    <w:rsid w:val="0002546B"/>
    <w:rsid w:val="00025A92"/>
    <w:rsid w:val="00030776"/>
    <w:rsid w:val="000335E0"/>
    <w:rsid w:val="000453F8"/>
    <w:rsid w:val="000473F3"/>
    <w:rsid w:val="00051B9A"/>
    <w:rsid w:val="000520BC"/>
    <w:rsid w:val="00052F52"/>
    <w:rsid w:val="00052FA0"/>
    <w:rsid w:val="0005447A"/>
    <w:rsid w:val="00060B1B"/>
    <w:rsid w:val="00067C06"/>
    <w:rsid w:val="00071539"/>
    <w:rsid w:val="00071E67"/>
    <w:rsid w:val="00074E4C"/>
    <w:rsid w:val="00075388"/>
    <w:rsid w:val="0007705C"/>
    <w:rsid w:val="000835E1"/>
    <w:rsid w:val="000850A5"/>
    <w:rsid w:val="000876C4"/>
    <w:rsid w:val="00096474"/>
    <w:rsid w:val="000A29BF"/>
    <w:rsid w:val="000A3B3F"/>
    <w:rsid w:val="000A5A50"/>
    <w:rsid w:val="000A5F47"/>
    <w:rsid w:val="000B234D"/>
    <w:rsid w:val="000C4B5C"/>
    <w:rsid w:val="000D1910"/>
    <w:rsid w:val="000D1A25"/>
    <w:rsid w:val="000D35FB"/>
    <w:rsid w:val="000D3919"/>
    <w:rsid w:val="000D761E"/>
    <w:rsid w:val="000D7CA1"/>
    <w:rsid w:val="000E24D6"/>
    <w:rsid w:val="000E329A"/>
    <w:rsid w:val="000E6D95"/>
    <w:rsid w:val="000F1893"/>
    <w:rsid w:val="000F19A0"/>
    <w:rsid w:val="000F25BB"/>
    <w:rsid w:val="000F50DE"/>
    <w:rsid w:val="00100467"/>
    <w:rsid w:val="001015FD"/>
    <w:rsid w:val="001018B3"/>
    <w:rsid w:val="001117A8"/>
    <w:rsid w:val="00114F17"/>
    <w:rsid w:val="00117FF8"/>
    <w:rsid w:val="00130EEF"/>
    <w:rsid w:val="00134814"/>
    <w:rsid w:val="00136C35"/>
    <w:rsid w:val="001373DE"/>
    <w:rsid w:val="00140596"/>
    <w:rsid w:val="00141A4D"/>
    <w:rsid w:val="00142B82"/>
    <w:rsid w:val="001432F6"/>
    <w:rsid w:val="00143DF7"/>
    <w:rsid w:val="00147A76"/>
    <w:rsid w:val="001531F1"/>
    <w:rsid w:val="00154C01"/>
    <w:rsid w:val="00155A7F"/>
    <w:rsid w:val="00155E00"/>
    <w:rsid w:val="0015608E"/>
    <w:rsid w:val="00157FF4"/>
    <w:rsid w:val="00163F5B"/>
    <w:rsid w:val="001640E9"/>
    <w:rsid w:val="00170808"/>
    <w:rsid w:val="00171800"/>
    <w:rsid w:val="001731ED"/>
    <w:rsid w:val="00175747"/>
    <w:rsid w:val="00175883"/>
    <w:rsid w:val="00180CC3"/>
    <w:rsid w:val="001830C7"/>
    <w:rsid w:val="00190B87"/>
    <w:rsid w:val="00191F99"/>
    <w:rsid w:val="00191FA2"/>
    <w:rsid w:val="001A1FB8"/>
    <w:rsid w:val="001A4DE8"/>
    <w:rsid w:val="001B1C01"/>
    <w:rsid w:val="001B281D"/>
    <w:rsid w:val="001B2C74"/>
    <w:rsid w:val="001B4C1F"/>
    <w:rsid w:val="001B680B"/>
    <w:rsid w:val="001B73D6"/>
    <w:rsid w:val="001C246D"/>
    <w:rsid w:val="001C69FC"/>
    <w:rsid w:val="001D7229"/>
    <w:rsid w:val="001D728A"/>
    <w:rsid w:val="001D72F3"/>
    <w:rsid w:val="001F02C8"/>
    <w:rsid w:val="001F5296"/>
    <w:rsid w:val="001F5A07"/>
    <w:rsid w:val="001F65BA"/>
    <w:rsid w:val="001F6AF5"/>
    <w:rsid w:val="002038FD"/>
    <w:rsid w:val="00207FD9"/>
    <w:rsid w:val="00216EAF"/>
    <w:rsid w:val="00221B89"/>
    <w:rsid w:val="00222AAD"/>
    <w:rsid w:val="00225B07"/>
    <w:rsid w:val="00226B2A"/>
    <w:rsid w:val="00231F49"/>
    <w:rsid w:val="002321CD"/>
    <w:rsid w:val="0023610D"/>
    <w:rsid w:val="0024642E"/>
    <w:rsid w:val="00247DEC"/>
    <w:rsid w:val="00260EFD"/>
    <w:rsid w:val="00272561"/>
    <w:rsid w:val="002737F5"/>
    <w:rsid w:val="00273C2C"/>
    <w:rsid w:val="00273D6E"/>
    <w:rsid w:val="00274506"/>
    <w:rsid w:val="00283894"/>
    <w:rsid w:val="00283B2F"/>
    <w:rsid w:val="00284EC0"/>
    <w:rsid w:val="00286BFD"/>
    <w:rsid w:val="002874AE"/>
    <w:rsid w:val="00287961"/>
    <w:rsid w:val="00290406"/>
    <w:rsid w:val="00290ABB"/>
    <w:rsid w:val="00290DDA"/>
    <w:rsid w:val="0029210A"/>
    <w:rsid w:val="00292CEF"/>
    <w:rsid w:val="00293EEC"/>
    <w:rsid w:val="002A0E3F"/>
    <w:rsid w:val="002A2E6B"/>
    <w:rsid w:val="002A34C7"/>
    <w:rsid w:val="002A4007"/>
    <w:rsid w:val="002A7B53"/>
    <w:rsid w:val="002B2FD9"/>
    <w:rsid w:val="002B630E"/>
    <w:rsid w:val="002B7D11"/>
    <w:rsid w:val="002C24E3"/>
    <w:rsid w:val="002C4B00"/>
    <w:rsid w:val="002D0141"/>
    <w:rsid w:val="002D3C92"/>
    <w:rsid w:val="002E144D"/>
    <w:rsid w:val="002E23E7"/>
    <w:rsid w:val="002E7BD3"/>
    <w:rsid w:val="002F281A"/>
    <w:rsid w:val="002F30E6"/>
    <w:rsid w:val="002F5029"/>
    <w:rsid w:val="002F59CB"/>
    <w:rsid w:val="0030064B"/>
    <w:rsid w:val="00304DDE"/>
    <w:rsid w:val="00306BFA"/>
    <w:rsid w:val="003251A4"/>
    <w:rsid w:val="00326AB9"/>
    <w:rsid w:val="00333386"/>
    <w:rsid w:val="003343BA"/>
    <w:rsid w:val="00335B75"/>
    <w:rsid w:val="003409C8"/>
    <w:rsid w:val="0034174A"/>
    <w:rsid w:val="00343A8F"/>
    <w:rsid w:val="00344056"/>
    <w:rsid w:val="00344B19"/>
    <w:rsid w:val="003501FF"/>
    <w:rsid w:val="0035372B"/>
    <w:rsid w:val="00353CAE"/>
    <w:rsid w:val="00355332"/>
    <w:rsid w:val="00355BF7"/>
    <w:rsid w:val="00362849"/>
    <w:rsid w:val="00365609"/>
    <w:rsid w:val="0037189C"/>
    <w:rsid w:val="00385569"/>
    <w:rsid w:val="0038769D"/>
    <w:rsid w:val="00391A95"/>
    <w:rsid w:val="00393189"/>
    <w:rsid w:val="00395FFC"/>
    <w:rsid w:val="003A16A0"/>
    <w:rsid w:val="003A2E98"/>
    <w:rsid w:val="003A350E"/>
    <w:rsid w:val="003A6590"/>
    <w:rsid w:val="003A7277"/>
    <w:rsid w:val="003B14E9"/>
    <w:rsid w:val="003B467C"/>
    <w:rsid w:val="003B5C50"/>
    <w:rsid w:val="003B66CA"/>
    <w:rsid w:val="003B74E7"/>
    <w:rsid w:val="003B786B"/>
    <w:rsid w:val="003C0E44"/>
    <w:rsid w:val="003C52CB"/>
    <w:rsid w:val="003C6504"/>
    <w:rsid w:val="003D25F0"/>
    <w:rsid w:val="003D574A"/>
    <w:rsid w:val="003E0287"/>
    <w:rsid w:val="003E1903"/>
    <w:rsid w:val="003E22F7"/>
    <w:rsid w:val="003E7AAE"/>
    <w:rsid w:val="003F402C"/>
    <w:rsid w:val="003F486D"/>
    <w:rsid w:val="003F5B3C"/>
    <w:rsid w:val="00401777"/>
    <w:rsid w:val="00411085"/>
    <w:rsid w:val="004114BC"/>
    <w:rsid w:val="004139C2"/>
    <w:rsid w:val="00414194"/>
    <w:rsid w:val="00415A32"/>
    <w:rsid w:val="00417DF0"/>
    <w:rsid w:val="004251A1"/>
    <w:rsid w:val="004256FB"/>
    <w:rsid w:val="00426B6A"/>
    <w:rsid w:val="0043016A"/>
    <w:rsid w:val="00433910"/>
    <w:rsid w:val="00433DC0"/>
    <w:rsid w:val="00433F10"/>
    <w:rsid w:val="00434040"/>
    <w:rsid w:val="00436512"/>
    <w:rsid w:val="00437156"/>
    <w:rsid w:val="00440B8E"/>
    <w:rsid w:val="00447DF9"/>
    <w:rsid w:val="004554A7"/>
    <w:rsid w:val="00460FD0"/>
    <w:rsid w:val="00462A87"/>
    <w:rsid w:val="00463AF3"/>
    <w:rsid w:val="004642C3"/>
    <w:rsid w:val="0046466E"/>
    <w:rsid w:val="004646E0"/>
    <w:rsid w:val="004651DF"/>
    <w:rsid w:val="00473066"/>
    <w:rsid w:val="00473E33"/>
    <w:rsid w:val="0048260B"/>
    <w:rsid w:val="004832AC"/>
    <w:rsid w:val="00483371"/>
    <w:rsid w:val="00486DD1"/>
    <w:rsid w:val="0049096A"/>
    <w:rsid w:val="004918A3"/>
    <w:rsid w:val="00493520"/>
    <w:rsid w:val="00493B24"/>
    <w:rsid w:val="00493E4B"/>
    <w:rsid w:val="00494263"/>
    <w:rsid w:val="004A26A6"/>
    <w:rsid w:val="004B10F3"/>
    <w:rsid w:val="004B277F"/>
    <w:rsid w:val="004B3CF9"/>
    <w:rsid w:val="004B63BB"/>
    <w:rsid w:val="004B655A"/>
    <w:rsid w:val="004B68E0"/>
    <w:rsid w:val="004B7DDD"/>
    <w:rsid w:val="004C56E7"/>
    <w:rsid w:val="004D13A2"/>
    <w:rsid w:val="004D1AE5"/>
    <w:rsid w:val="004D207A"/>
    <w:rsid w:val="004D5D23"/>
    <w:rsid w:val="004E24F8"/>
    <w:rsid w:val="004E328B"/>
    <w:rsid w:val="00500B86"/>
    <w:rsid w:val="005064AE"/>
    <w:rsid w:val="0051151B"/>
    <w:rsid w:val="00514C33"/>
    <w:rsid w:val="00520E50"/>
    <w:rsid w:val="0052222B"/>
    <w:rsid w:val="00523874"/>
    <w:rsid w:val="005248DD"/>
    <w:rsid w:val="0052508A"/>
    <w:rsid w:val="00525701"/>
    <w:rsid w:val="00527217"/>
    <w:rsid w:val="00531CD6"/>
    <w:rsid w:val="00534345"/>
    <w:rsid w:val="00535527"/>
    <w:rsid w:val="00536A18"/>
    <w:rsid w:val="00536C54"/>
    <w:rsid w:val="00537105"/>
    <w:rsid w:val="00543997"/>
    <w:rsid w:val="005442AD"/>
    <w:rsid w:val="005442CA"/>
    <w:rsid w:val="00551FC3"/>
    <w:rsid w:val="00557186"/>
    <w:rsid w:val="00562F8E"/>
    <w:rsid w:val="0056508D"/>
    <w:rsid w:val="005665A7"/>
    <w:rsid w:val="00566AE0"/>
    <w:rsid w:val="005705BD"/>
    <w:rsid w:val="00571C2C"/>
    <w:rsid w:val="00572336"/>
    <w:rsid w:val="005726BC"/>
    <w:rsid w:val="005736A5"/>
    <w:rsid w:val="005749B5"/>
    <w:rsid w:val="0057535D"/>
    <w:rsid w:val="005760C6"/>
    <w:rsid w:val="00580428"/>
    <w:rsid w:val="00580696"/>
    <w:rsid w:val="00582D07"/>
    <w:rsid w:val="005832F1"/>
    <w:rsid w:val="00592C8A"/>
    <w:rsid w:val="00597143"/>
    <w:rsid w:val="005A16C7"/>
    <w:rsid w:val="005A331E"/>
    <w:rsid w:val="005A33C6"/>
    <w:rsid w:val="005B071D"/>
    <w:rsid w:val="005B0854"/>
    <w:rsid w:val="005B1E41"/>
    <w:rsid w:val="005B2691"/>
    <w:rsid w:val="005B2ECE"/>
    <w:rsid w:val="005B573D"/>
    <w:rsid w:val="005C0FC4"/>
    <w:rsid w:val="005C16D2"/>
    <w:rsid w:val="005C1753"/>
    <w:rsid w:val="005C212B"/>
    <w:rsid w:val="005D0749"/>
    <w:rsid w:val="005D353E"/>
    <w:rsid w:val="005D47BC"/>
    <w:rsid w:val="005D4FCE"/>
    <w:rsid w:val="005D5F25"/>
    <w:rsid w:val="005D754D"/>
    <w:rsid w:val="005D7E14"/>
    <w:rsid w:val="005E02AD"/>
    <w:rsid w:val="005F1AC6"/>
    <w:rsid w:val="005F3A73"/>
    <w:rsid w:val="005F5B40"/>
    <w:rsid w:val="00601307"/>
    <w:rsid w:val="0060316F"/>
    <w:rsid w:val="00603294"/>
    <w:rsid w:val="00604EF1"/>
    <w:rsid w:val="0060551D"/>
    <w:rsid w:val="0061243E"/>
    <w:rsid w:val="0061332B"/>
    <w:rsid w:val="006162E3"/>
    <w:rsid w:val="00622402"/>
    <w:rsid w:val="00630FC2"/>
    <w:rsid w:val="006315F5"/>
    <w:rsid w:val="00631B13"/>
    <w:rsid w:val="00632557"/>
    <w:rsid w:val="006330D9"/>
    <w:rsid w:val="00633EC7"/>
    <w:rsid w:val="00634D1D"/>
    <w:rsid w:val="006359A5"/>
    <w:rsid w:val="00635D39"/>
    <w:rsid w:val="00641B57"/>
    <w:rsid w:val="0064379E"/>
    <w:rsid w:val="00643E3E"/>
    <w:rsid w:val="00643F80"/>
    <w:rsid w:val="00655D26"/>
    <w:rsid w:val="00657DA7"/>
    <w:rsid w:val="00667816"/>
    <w:rsid w:val="006708CE"/>
    <w:rsid w:val="00673801"/>
    <w:rsid w:val="00675F66"/>
    <w:rsid w:val="00676ADA"/>
    <w:rsid w:val="00676F18"/>
    <w:rsid w:val="00690FCC"/>
    <w:rsid w:val="00691EF3"/>
    <w:rsid w:val="0069358D"/>
    <w:rsid w:val="006951EC"/>
    <w:rsid w:val="006A762F"/>
    <w:rsid w:val="006B094C"/>
    <w:rsid w:val="006B1661"/>
    <w:rsid w:val="006B330A"/>
    <w:rsid w:val="006B33D2"/>
    <w:rsid w:val="006B47BA"/>
    <w:rsid w:val="006B649F"/>
    <w:rsid w:val="006C1B67"/>
    <w:rsid w:val="006C2256"/>
    <w:rsid w:val="006C2AFA"/>
    <w:rsid w:val="006C3D5C"/>
    <w:rsid w:val="006D28B5"/>
    <w:rsid w:val="006D3679"/>
    <w:rsid w:val="006D3C0B"/>
    <w:rsid w:val="006D7611"/>
    <w:rsid w:val="006E4C80"/>
    <w:rsid w:val="006E643D"/>
    <w:rsid w:val="006E7199"/>
    <w:rsid w:val="006F00B8"/>
    <w:rsid w:val="006F34BF"/>
    <w:rsid w:val="006F5219"/>
    <w:rsid w:val="006F7952"/>
    <w:rsid w:val="007004E4"/>
    <w:rsid w:val="007006A2"/>
    <w:rsid w:val="00703E16"/>
    <w:rsid w:val="00704724"/>
    <w:rsid w:val="00707266"/>
    <w:rsid w:val="007110D4"/>
    <w:rsid w:val="007133C1"/>
    <w:rsid w:val="00715A0E"/>
    <w:rsid w:val="00720245"/>
    <w:rsid w:val="00721DC2"/>
    <w:rsid w:val="00726A49"/>
    <w:rsid w:val="00726B2D"/>
    <w:rsid w:val="007316C3"/>
    <w:rsid w:val="0073676A"/>
    <w:rsid w:val="007471EF"/>
    <w:rsid w:val="00747AC2"/>
    <w:rsid w:val="00750212"/>
    <w:rsid w:val="00750494"/>
    <w:rsid w:val="00752E26"/>
    <w:rsid w:val="007538EA"/>
    <w:rsid w:val="00755D83"/>
    <w:rsid w:val="00757978"/>
    <w:rsid w:val="00757F5A"/>
    <w:rsid w:val="0076289C"/>
    <w:rsid w:val="007628EF"/>
    <w:rsid w:val="00774227"/>
    <w:rsid w:val="007761CB"/>
    <w:rsid w:val="00776C7C"/>
    <w:rsid w:val="007779EA"/>
    <w:rsid w:val="00780AF5"/>
    <w:rsid w:val="0079064E"/>
    <w:rsid w:val="00790854"/>
    <w:rsid w:val="007910DD"/>
    <w:rsid w:val="00793494"/>
    <w:rsid w:val="00793EE1"/>
    <w:rsid w:val="00794DBD"/>
    <w:rsid w:val="007A081B"/>
    <w:rsid w:val="007A0B54"/>
    <w:rsid w:val="007A1BC5"/>
    <w:rsid w:val="007A20FD"/>
    <w:rsid w:val="007A3D23"/>
    <w:rsid w:val="007A3DB2"/>
    <w:rsid w:val="007A4337"/>
    <w:rsid w:val="007A57D6"/>
    <w:rsid w:val="007B1192"/>
    <w:rsid w:val="007B14D9"/>
    <w:rsid w:val="007B564C"/>
    <w:rsid w:val="007C687D"/>
    <w:rsid w:val="007C7951"/>
    <w:rsid w:val="007E4E9E"/>
    <w:rsid w:val="007F3499"/>
    <w:rsid w:val="007F3A2B"/>
    <w:rsid w:val="007F47E2"/>
    <w:rsid w:val="00800969"/>
    <w:rsid w:val="00800FFC"/>
    <w:rsid w:val="0080142B"/>
    <w:rsid w:val="00805F71"/>
    <w:rsid w:val="00806EB5"/>
    <w:rsid w:val="00811CEA"/>
    <w:rsid w:val="008163A7"/>
    <w:rsid w:val="00820B0A"/>
    <w:rsid w:val="008231F0"/>
    <w:rsid w:val="008247F9"/>
    <w:rsid w:val="008339BB"/>
    <w:rsid w:val="00833F7C"/>
    <w:rsid w:val="00834B74"/>
    <w:rsid w:val="00837BFE"/>
    <w:rsid w:val="008441C5"/>
    <w:rsid w:val="0084486F"/>
    <w:rsid w:val="008452A2"/>
    <w:rsid w:val="0085208E"/>
    <w:rsid w:val="00852CEE"/>
    <w:rsid w:val="00852E92"/>
    <w:rsid w:val="00857D50"/>
    <w:rsid w:val="0086484D"/>
    <w:rsid w:val="00876062"/>
    <w:rsid w:val="0087660B"/>
    <w:rsid w:val="008774C1"/>
    <w:rsid w:val="00880327"/>
    <w:rsid w:val="0088389F"/>
    <w:rsid w:val="00885D93"/>
    <w:rsid w:val="00890C7C"/>
    <w:rsid w:val="00892150"/>
    <w:rsid w:val="00895020"/>
    <w:rsid w:val="008A1A95"/>
    <w:rsid w:val="008A2D6D"/>
    <w:rsid w:val="008A2F85"/>
    <w:rsid w:val="008A6F6C"/>
    <w:rsid w:val="008B2D5D"/>
    <w:rsid w:val="008B4EBA"/>
    <w:rsid w:val="008B6702"/>
    <w:rsid w:val="008B6B86"/>
    <w:rsid w:val="008C322C"/>
    <w:rsid w:val="008C4817"/>
    <w:rsid w:val="008C673E"/>
    <w:rsid w:val="008C7ED8"/>
    <w:rsid w:val="008D02C1"/>
    <w:rsid w:val="008D1014"/>
    <w:rsid w:val="008D1BF3"/>
    <w:rsid w:val="008D22EE"/>
    <w:rsid w:val="008D5BB4"/>
    <w:rsid w:val="008D7F28"/>
    <w:rsid w:val="008E002B"/>
    <w:rsid w:val="008E282D"/>
    <w:rsid w:val="008F0CCD"/>
    <w:rsid w:val="008F1030"/>
    <w:rsid w:val="008F20A0"/>
    <w:rsid w:val="008F4A7D"/>
    <w:rsid w:val="008F4AE9"/>
    <w:rsid w:val="008F5163"/>
    <w:rsid w:val="008F6172"/>
    <w:rsid w:val="008F7F12"/>
    <w:rsid w:val="0090397D"/>
    <w:rsid w:val="0091054F"/>
    <w:rsid w:val="009117EA"/>
    <w:rsid w:val="00923320"/>
    <w:rsid w:val="00927289"/>
    <w:rsid w:val="00930407"/>
    <w:rsid w:val="009356D7"/>
    <w:rsid w:val="0093615D"/>
    <w:rsid w:val="0093681A"/>
    <w:rsid w:val="0094579F"/>
    <w:rsid w:val="00945873"/>
    <w:rsid w:val="00945B36"/>
    <w:rsid w:val="009507AE"/>
    <w:rsid w:val="00955F93"/>
    <w:rsid w:val="00965FBC"/>
    <w:rsid w:val="00970C0E"/>
    <w:rsid w:val="00976963"/>
    <w:rsid w:val="00993C2D"/>
    <w:rsid w:val="009A3CD5"/>
    <w:rsid w:val="009A5216"/>
    <w:rsid w:val="009A7894"/>
    <w:rsid w:val="009A7CF4"/>
    <w:rsid w:val="009B3A7F"/>
    <w:rsid w:val="009B4A85"/>
    <w:rsid w:val="009B64E9"/>
    <w:rsid w:val="009C4EAD"/>
    <w:rsid w:val="009C7033"/>
    <w:rsid w:val="009D06EC"/>
    <w:rsid w:val="009E0264"/>
    <w:rsid w:val="009E0906"/>
    <w:rsid w:val="009E142A"/>
    <w:rsid w:val="009E22E2"/>
    <w:rsid w:val="009E6B87"/>
    <w:rsid w:val="009E6DDE"/>
    <w:rsid w:val="009E7064"/>
    <w:rsid w:val="009E7856"/>
    <w:rsid w:val="009E789F"/>
    <w:rsid w:val="009F5549"/>
    <w:rsid w:val="009F6CB8"/>
    <w:rsid w:val="00A02580"/>
    <w:rsid w:val="00A039C8"/>
    <w:rsid w:val="00A07DF5"/>
    <w:rsid w:val="00A10596"/>
    <w:rsid w:val="00A15662"/>
    <w:rsid w:val="00A175FD"/>
    <w:rsid w:val="00A205F7"/>
    <w:rsid w:val="00A2123C"/>
    <w:rsid w:val="00A221F8"/>
    <w:rsid w:val="00A23052"/>
    <w:rsid w:val="00A256DB"/>
    <w:rsid w:val="00A319E1"/>
    <w:rsid w:val="00A41355"/>
    <w:rsid w:val="00A45067"/>
    <w:rsid w:val="00A509EE"/>
    <w:rsid w:val="00A55FA4"/>
    <w:rsid w:val="00A63884"/>
    <w:rsid w:val="00A64198"/>
    <w:rsid w:val="00A664C0"/>
    <w:rsid w:val="00A70A3E"/>
    <w:rsid w:val="00A73010"/>
    <w:rsid w:val="00A75BB6"/>
    <w:rsid w:val="00A76A65"/>
    <w:rsid w:val="00A77BB5"/>
    <w:rsid w:val="00A836D4"/>
    <w:rsid w:val="00A85493"/>
    <w:rsid w:val="00A8566D"/>
    <w:rsid w:val="00A94F1E"/>
    <w:rsid w:val="00A97FAA"/>
    <w:rsid w:val="00AA1549"/>
    <w:rsid w:val="00AB0C1C"/>
    <w:rsid w:val="00AB1449"/>
    <w:rsid w:val="00AB5952"/>
    <w:rsid w:val="00AB5BB4"/>
    <w:rsid w:val="00AC2607"/>
    <w:rsid w:val="00AC5276"/>
    <w:rsid w:val="00AC6EDB"/>
    <w:rsid w:val="00AD1A65"/>
    <w:rsid w:val="00AE0751"/>
    <w:rsid w:val="00AE2643"/>
    <w:rsid w:val="00AE3D98"/>
    <w:rsid w:val="00AE3F89"/>
    <w:rsid w:val="00AE4669"/>
    <w:rsid w:val="00AE5FCD"/>
    <w:rsid w:val="00AF0201"/>
    <w:rsid w:val="00AF048F"/>
    <w:rsid w:val="00AF1160"/>
    <w:rsid w:val="00AF58F9"/>
    <w:rsid w:val="00AF701D"/>
    <w:rsid w:val="00B009FC"/>
    <w:rsid w:val="00B020C7"/>
    <w:rsid w:val="00B02A55"/>
    <w:rsid w:val="00B0686E"/>
    <w:rsid w:val="00B123E5"/>
    <w:rsid w:val="00B15249"/>
    <w:rsid w:val="00B2032C"/>
    <w:rsid w:val="00B20C8C"/>
    <w:rsid w:val="00B266F4"/>
    <w:rsid w:val="00B32EDF"/>
    <w:rsid w:val="00B33863"/>
    <w:rsid w:val="00B40AF5"/>
    <w:rsid w:val="00B41DC9"/>
    <w:rsid w:val="00B43029"/>
    <w:rsid w:val="00B44FE3"/>
    <w:rsid w:val="00B51CC1"/>
    <w:rsid w:val="00B52837"/>
    <w:rsid w:val="00B5508E"/>
    <w:rsid w:val="00B55131"/>
    <w:rsid w:val="00B606C5"/>
    <w:rsid w:val="00B61078"/>
    <w:rsid w:val="00B62E56"/>
    <w:rsid w:val="00B634FF"/>
    <w:rsid w:val="00B67C56"/>
    <w:rsid w:val="00B70F9E"/>
    <w:rsid w:val="00B71442"/>
    <w:rsid w:val="00B7257B"/>
    <w:rsid w:val="00B76E7C"/>
    <w:rsid w:val="00B8028B"/>
    <w:rsid w:val="00B81AAF"/>
    <w:rsid w:val="00B8613A"/>
    <w:rsid w:val="00B87429"/>
    <w:rsid w:val="00B87837"/>
    <w:rsid w:val="00B93467"/>
    <w:rsid w:val="00B93C1C"/>
    <w:rsid w:val="00BA1A4C"/>
    <w:rsid w:val="00BA2C2E"/>
    <w:rsid w:val="00BA776E"/>
    <w:rsid w:val="00BA7B3D"/>
    <w:rsid w:val="00BB0BD3"/>
    <w:rsid w:val="00BB1AB7"/>
    <w:rsid w:val="00BB297A"/>
    <w:rsid w:val="00BB4169"/>
    <w:rsid w:val="00BB65D4"/>
    <w:rsid w:val="00BB6991"/>
    <w:rsid w:val="00BB6D4C"/>
    <w:rsid w:val="00BC4A1F"/>
    <w:rsid w:val="00BC6D66"/>
    <w:rsid w:val="00BD2C17"/>
    <w:rsid w:val="00BD6835"/>
    <w:rsid w:val="00BD773B"/>
    <w:rsid w:val="00BE28D9"/>
    <w:rsid w:val="00BE33CD"/>
    <w:rsid w:val="00BF2708"/>
    <w:rsid w:val="00BF62F0"/>
    <w:rsid w:val="00BF6BFA"/>
    <w:rsid w:val="00C0042D"/>
    <w:rsid w:val="00C03FFC"/>
    <w:rsid w:val="00C04764"/>
    <w:rsid w:val="00C05B83"/>
    <w:rsid w:val="00C06A8C"/>
    <w:rsid w:val="00C07C55"/>
    <w:rsid w:val="00C100F8"/>
    <w:rsid w:val="00C11CD1"/>
    <w:rsid w:val="00C15678"/>
    <w:rsid w:val="00C168FA"/>
    <w:rsid w:val="00C24B0E"/>
    <w:rsid w:val="00C250B6"/>
    <w:rsid w:val="00C26A4B"/>
    <w:rsid w:val="00C2776A"/>
    <w:rsid w:val="00C30735"/>
    <w:rsid w:val="00C32A0E"/>
    <w:rsid w:val="00C343F5"/>
    <w:rsid w:val="00C36BF3"/>
    <w:rsid w:val="00C3709E"/>
    <w:rsid w:val="00C450A1"/>
    <w:rsid w:val="00C46623"/>
    <w:rsid w:val="00C51731"/>
    <w:rsid w:val="00C52FC7"/>
    <w:rsid w:val="00C5551E"/>
    <w:rsid w:val="00C556FF"/>
    <w:rsid w:val="00C61EED"/>
    <w:rsid w:val="00C7058D"/>
    <w:rsid w:val="00C746A8"/>
    <w:rsid w:val="00C86AF2"/>
    <w:rsid w:val="00C91850"/>
    <w:rsid w:val="00C957F1"/>
    <w:rsid w:val="00CA1B43"/>
    <w:rsid w:val="00CA4F69"/>
    <w:rsid w:val="00CA54C9"/>
    <w:rsid w:val="00CA5654"/>
    <w:rsid w:val="00CA5D29"/>
    <w:rsid w:val="00CA6CDC"/>
    <w:rsid w:val="00CB1B13"/>
    <w:rsid w:val="00CB74E2"/>
    <w:rsid w:val="00CB76C6"/>
    <w:rsid w:val="00CB7DAD"/>
    <w:rsid w:val="00CC0669"/>
    <w:rsid w:val="00CC06C1"/>
    <w:rsid w:val="00CC3AD8"/>
    <w:rsid w:val="00CC4651"/>
    <w:rsid w:val="00CC518E"/>
    <w:rsid w:val="00CC5E8E"/>
    <w:rsid w:val="00CD067C"/>
    <w:rsid w:val="00CE699F"/>
    <w:rsid w:val="00CF03D9"/>
    <w:rsid w:val="00CF0BC0"/>
    <w:rsid w:val="00CF317F"/>
    <w:rsid w:val="00D047A3"/>
    <w:rsid w:val="00D0505B"/>
    <w:rsid w:val="00D12694"/>
    <w:rsid w:val="00D20542"/>
    <w:rsid w:val="00D20A7D"/>
    <w:rsid w:val="00D2227B"/>
    <w:rsid w:val="00D27281"/>
    <w:rsid w:val="00D27321"/>
    <w:rsid w:val="00D27703"/>
    <w:rsid w:val="00D3131C"/>
    <w:rsid w:val="00D32535"/>
    <w:rsid w:val="00D32ED2"/>
    <w:rsid w:val="00D3369B"/>
    <w:rsid w:val="00D338C2"/>
    <w:rsid w:val="00D345BE"/>
    <w:rsid w:val="00D3512F"/>
    <w:rsid w:val="00D35BF7"/>
    <w:rsid w:val="00D40B18"/>
    <w:rsid w:val="00D44481"/>
    <w:rsid w:val="00D448B2"/>
    <w:rsid w:val="00D46FA3"/>
    <w:rsid w:val="00D51650"/>
    <w:rsid w:val="00D51993"/>
    <w:rsid w:val="00D53454"/>
    <w:rsid w:val="00D55CE9"/>
    <w:rsid w:val="00D60DB7"/>
    <w:rsid w:val="00D660E5"/>
    <w:rsid w:val="00D72BB5"/>
    <w:rsid w:val="00D7332F"/>
    <w:rsid w:val="00D7463D"/>
    <w:rsid w:val="00D74B44"/>
    <w:rsid w:val="00D91908"/>
    <w:rsid w:val="00DA1687"/>
    <w:rsid w:val="00DA2C4E"/>
    <w:rsid w:val="00DA58FE"/>
    <w:rsid w:val="00DB4557"/>
    <w:rsid w:val="00DB5AA7"/>
    <w:rsid w:val="00DB794C"/>
    <w:rsid w:val="00DC0510"/>
    <w:rsid w:val="00DC15D8"/>
    <w:rsid w:val="00DC39EF"/>
    <w:rsid w:val="00DC3F6B"/>
    <w:rsid w:val="00DC5378"/>
    <w:rsid w:val="00DC68B0"/>
    <w:rsid w:val="00DC71C2"/>
    <w:rsid w:val="00DC7867"/>
    <w:rsid w:val="00DD2922"/>
    <w:rsid w:val="00DD32DC"/>
    <w:rsid w:val="00DD3347"/>
    <w:rsid w:val="00DD7F8C"/>
    <w:rsid w:val="00DE1309"/>
    <w:rsid w:val="00DE176B"/>
    <w:rsid w:val="00DE4E20"/>
    <w:rsid w:val="00DE6B37"/>
    <w:rsid w:val="00DF075A"/>
    <w:rsid w:val="00DF4069"/>
    <w:rsid w:val="00DF52A9"/>
    <w:rsid w:val="00DF60F4"/>
    <w:rsid w:val="00E0286A"/>
    <w:rsid w:val="00E04F44"/>
    <w:rsid w:val="00E05B5C"/>
    <w:rsid w:val="00E1136B"/>
    <w:rsid w:val="00E11E52"/>
    <w:rsid w:val="00E14AF2"/>
    <w:rsid w:val="00E15328"/>
    <w:rsid w:val="00E15BA4"/>
    <w:rsid w:val="00E1613D"/>
    <w:rsid w:val="00E17F25"/>
    <w:rsid w:val="00E2144B"/>
    <w:rsid w:val="00E22DF7"/>
    <w:rsid w:val="00E25358"/>
    <w:rsid w:val="00E256A7"/>
    <w:rsid w:val="00E3002F"/>
    <w:rsid w:val="00E30982"/>
    <w:rsid w:val="00E36801"/>
    <w:rsid w:val="00E46451"/>
    <w:rsid w:val="00E538FD"/>
    <w:rsid w:val="00E5655A"/>
    <w:rsid w:val="00E57169"/>
    <w:rsid w:val="00E65470"/>
    <w:rsid w:val="00E6689E"/>
    <w:rsid w:val="00E70D0E"/>
    <w:rsid w:val="00E71657"/>
    <w:rsid w:val="00E71814"/>
    <w:rsid w:val="00E7237C"/>
    <w:rsid w:val="00E725CD"/>
    <w:rsid w:val="00E746C4"/>
    <w:rsid w:val="00E74891"/>
    <w:rsid w:val="00E74EC4"/>
    <w:rsid w:val="00E760E5"/>
    <w:rsid w:val="00E80231"/>
    <w:rsid w:val="00E8669B"/>
    <w:rsid w:val="00E87412"/>
    <w:rsid w:val="00E92C81"/>
    <w:rsid w:val="00E954CD"/>
    <w:rsid w:val="00EA3006"/>
    <w:rsid w:val="00EA6955"/>
    <w:rsid w:val="00EB4C48"/>
    <w:rsid w:val="00EC2284"/>
    <w:rsid w:val="00EC4384"/>
    <w:rsid w:val="00EC52D7"/>
    <w:rsid w:val="00EC5913"/>
    <w:rsid w:val="00ED072E"/>
    <w:rsid w:val="00ED11E2"/>
    <w:rsid w:val="00ED4AB0"/>
    <w:rsid w:val="00EE1333"/>
    <w:rsid w:val="00EE3354"/>
    <w:rsid w:val="00EE3409"/>
    <w:rsid w:val="00EE4374"/>
    <w:rsid w:val="00EE5F91"/>
    <w:rsid w:val="00EF33ED"/>
    <w:rsid w:val="00EF4509"/>
    <w:rsid w:val="00EF4D00"/>
    <w:rsid w:val="00EF583B"/>
    <w:rsid w:val="00EF79F4"/>
    <w:rsid w:val="00F02B6D"/>
    <w:rsid w:val="00F04856"/>
    <w:rsid w:val="00F14401"/>
    <w:rsid w:val="00F2385A"/>
    <w:rsid w:val="00F25354"/>
    <w:rsid w:val="00F3161B"/>
    <w:rsid w:val="00F35F38"/>
    <w:rsid w:val="00F35FD8"/>
    <w:rsid w:val="00F36FE7"/>
    <w:rsid w:val="00F403DD"/>
    <w:rsid w:val="00F470F5"/>
    <w:rsid w:val="00F476E1"/>
    <w:rsid w:val="00F5116F"/>
    <w:rsid w:val="00F53042"/>
    <w:rsid w:val="00F53315"/>
    <w:rsid w:val="00F53980"/>
    <w:rsid w:val="00F55A6C"/>
    <w:rsid w:val="00F55BFF"/>
    <w:rsid w:val="00F56A9F"/>
    <w:rsid w:val="00F61174"/>
    <w:rsid w:val="00F64246"/>
    <w:rsid w:val="00F75D4E"/>
    <w:rsid w:val="00F808E9"/>
    <w:rsid w:val="00F83F1C"/>
    <w:rsid w:val="00F84AA3"/>
    <w:rsid w:val="00F85B96"/>
    <w:rsid w:val="00F8686A"/>
    <w:rsid w:val="00F94EE1"/>
    <w:rsid w:val="00FA13BC"/>
    <w:rsid w:val="00FA16E9"/>
    <w:rsid w:val="00FA70E9"/>
    <w:rsid w:val="00FB49B6"/>
    <w:rsid w:val="00FC3917"/>
    <w:rsid w:val="00FC39D6"/>
    <w:rsid w:val="00FC6E82"/>
    <w:rsid w:val="00FC7557"/>
    <w:rsid w:val="00FC7FEA"/>
    <w:rsid w:val="00FD1218"/>
    <w:rsid w:val="00FD1EB7"/>
    <w:rsid w:val="00FD2518"/>
    <w:rsid w:val="00FD5282"/>
    <w:rsid w:val="00FE0026"/>
    <w:rsid w:val="00FE3B3E"/>
    <w:rsid w:val="00FE3C8B"/>
    <w:rsid w:val="00FE40F7"/>
    <w:rsid w:val="00FE6833"/>
    <w:rsid w:val="00FE6D42"/>
    <w:rsid w:val="00FF091F"/>
    <w:rsid w:val="00FF2F52"/>
    <w:rsid w:val="00FF54D1"/>
    <w:rsid w:val="00FF6294"/>
    <w:rsid w:val="00FF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287DF"/>
  <w15:chartTrackingRefBased/>
  <w15:docId w15:val="{75A16765-AABD-4B1B-8951-3EB32F01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A73"/>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5F3A73"/>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5F3A73"/>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5F3A73"/>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5F3A73"/>
    <w:pPr>
      <w:keepNext/>
      <w:autoSpaceDE w:val="0"/>
      <w:autoSpaceDN w:val="0"/>
      <w:jc w:val="center"/>
      <w:outlineLvl w:val="3"/>
    </w:pPr>
    <w:rPr>
      <w:b/>
      <w:bCs/>
      <w:sz w:val="72"/>
      <w:szCs w:val="72"/>
      <w:lang w:val="en-US" w:eastAsia="en-US"/>
    </w:rPr>
  </w:style>
  <w:style w:type="paragraph" w:styleId="Heading5">
    <w:name w:val="heading 5"/>
    <w:basedOn w:val="Normal"/>
    <w:next w:val="Normal"/>
    <w:link w:val="Heading5Char"/>
    <w:qFormat/>
    <w:rsid w:val="005F3A73"/>
    <w:pPr>
      <w:keepNext/>
      <w:numPr>
        <w:numId w:val="1"/>
      </w:numPr>
      <w:spacing w:before="240"/>
      <w:jc w:val="both"/>
      <w:outlineLvl w:val="4"/>
    </w:pPr>
    <w:rPr>
      <w:color w:val="000080"/>
      <w:sz w:val="28"/>
      <w:szCs w:val="20"/>
      <w:lang w:val="ro-MD" w:eastAsia="en-US"/>
    </w:rPr>
  </w:style>
  <w:style w:type="paragraph" w:styleId="Heading8">
    <w:name w:val="heading 8"/>
    <w:basedOn w:val="Normal"/>
    <w:next w:val="Normal"/>
    <w:link w:val="Heading8Char"/>
    <w:qFormat/>
    <w:rsid w:val="005F3A73"/>
    <w:pPr>
      <w:spacing w:before="240" w:after="60"/>
      <w:outlineLvl w:val="7"/>
    </w:pPr>
    <w:rPr>
      <w:i/>
      <w:iCs/>
    </w:rPr>
  </w:style>
  <w:style w:type="paragraph" w:styleId="Heading9">
    <w:name w:val="heading 9"/>
    <w:basedOn w:val="Normal"/>
    <w:next w:val="Normal"/>
    <w:link w:val="Heading9Char"/>
    <w:qFormat/>
    <w:rsid w:val="005F3A73"/>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3A73"/>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5F3A73"/>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5F3A73"/>
    <w:rPr>
      <w:rFonts w:ascii="Arial" w:eastAsia="Times New Roman" w:hAnsi="Arial" w:cs="Times New Roman"/>
      <w:b/>
      <w:bCs/>
      <w:sz w:val="26"/>
      <w:szCs w:val="26"/>
      <w:lang w:val="ru-RU" w:eastAsia="ru-RU"/>
    </w:rPr>
  </w:style>
  <w:style w:type="character" w:customStyle="1" w:styleId="Heading4Char">
    <w:name w:val="Heading 4 Char"/>
    <w:basedOn w:val="DefaultParagraphFont"/>
    <w:link w:val="Heading4"/>
    <w:rsid w:val="005F3A73"/>
    <w:rPr>
      <w:rFonts w:ascii="Times New Roman" w:eastAsia="Times New Roman" w:hAnsi="Times New Roman" w:cs="Times New Roman"/>
      <w:b/>
      <w:bCs/>
      <w:sz w:val="72"/>
      <w:szCs w:val="72"/>
    </w:rPr>
  </w:style>
  <w:style w:type="character" w:customStyle="1" w:styleId="Heading5Char">
    <w:name w:val="Heading 5 Char"/>
    <w:basedOn w:val="DefaultParagraphFont"/>
    <w:link w:val="Heading5"/>
    <w:rsid w:val="005F3A73"/>
    <w:rPr>
      <w:rFonts w:ascii="Times New Roman" w:eastAsia="Times New Roman" w:hAnsi="Times New Roman" w:cs="Times New Roman"/>
      <w:color w:val="000080"/>
      <w:sz w:val="28"/>
      <w:szCs w:val="20"/>
      <w:lang w:val="ro-MD"/>
    </w:rPr>
  </w:style>
  <w:style w:type="character" w:customStyle="1" w:styleId="Heading8Char">
    <w:name w:val="Heading 8 Char"/>
    <w:basedOn w:val="DefaultParagraphFont"/>
    <w:link w:val="Heading8"/>
    <w:rsid w:val="005F3A73"/>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5F3A73"/>
    <w:rPr>
      <w:rFonts w:ascii="Arial" w:eastAsia="Times New Roman" w:hAnsi="Arial" w:cs="Times New Roman"/>
      <w:lang w:val="ru-RU" w:eastAsia="ru-RU"/>
    </w:rPr>
  </w:style>
  <w:style w:type="table" w:styleId="TableGrid">
    <w:name w:val="Table Grid"/>
    <w:basedOn w:val="TableNormal"/>
    <w:uiPriority w:val="39"/>
    <w:rsid w:val="005F3A73"/>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5F3A73"/>
    <w:pPr>
      <w:ind w:firstLine="567"/>
      <w:jc w:val="both"/>
    </w:pPr>
    <w:rPr>
      <w:lang w:bidi="or-IN"/>
    </w:rPr>
  </w:style>
  <w:style w:type="character" w:customStyle="1" w:styleId="NormalWebChar">
    <w:name w:val="Normal (Web) Char"/>
    <w:link w:val="NormalWeb"/>
    <w:uiPriority w:val="99"/>
    <w:rsid w:val="005F3A73"/>
    <w:rPr>
      <w:rFonts w:ascii="Times New Roman" w:eastAsia="Times New Roman" w:hAnsi="Times New Roman" w:cs="Times New Roman"/>
      <w:sz w:val="24"/>
      <w:szCs w:val="24"/>
      <w:lang w:val="ru-RU" w:eastAsia="ru-RU" w:bidi="or-IN"/>
    </w:rPr>
  </w:style>
  <w:style w:type="paragraph" w:styleId="BodyTextIndent">
    <w:name w:val="Body Text Indent"/>
    <w:basedOn w:val="Normal"/>
    <w:link w:val="BodyTextIndentChar"/>
    <w:rsid w:val="005F3A73"/>
    <w:pPr>
      <w:autoSpaceDE w:val="0"/>
      <w:autoSpaceDN w:val="0"/>
      <w:spacing w:before="240"/>
      <w:ind w:firstLine="720"/>
      <w:jc w:val="both"/>
    </w:pPr>
    <w:rPr>
      <w:sz w:val="28"/>
      <w:szCs w:val="28"/>
      <w:lang w:eastAsia="en-US"/>
    </w:rPr>
  </w:style>
  <w:style w:type="character" w:customStyle="1" w:styleId="BodyTextIndentChar">
    <w:name w:val="Body Text Indent Char"/>
    <w:basedOn w:val="DefaultParagraphFont"/>
    <w:link w:val="BodyTextIndent"/>
    <w:rsid w:val="005F3A73"/>
    <w:rPr>
      <w:rFonts w:ascii="Times New Roman" w:eastAsia="Times New Roman" w:hAnsi="Times New Roman" w:cs="Times New Roman"/>
      <w:sz w:val="28"/>
      <w:szCs w:val="28"/>
      <w:lang w:val="ru-RU"/>
    </w:rPr>
  </w:style>
  <w:style w:type="paragraph" w:styleId="Header">
    <w:name w:val="header"/>
    <w:basedOn w:val="Normal"/>
    <w:link w:val="HeaderChar"/>
    <w:rsid w:val="005F3A73"/>
    <w:pPr>
      <w:tabs>
        <w:tab w:val="center" w:pos="4320"/>
        <w:tab w:val="right" w:pos="8640"/>
      </w:tabs>
      <w:jc w:val="both"/>
    </w:pPr>
    <w:rPr>
      <w:sz w:val="28"/>
      <w:szCs w:val="20"/>
      <w:lang w:val="ro-RO" w:eastAsia="en-US"/>
    </w:rPr>
  </w:style>
  <w:style w:type="character" w:customStyle="1" w:styleId="HeaderChar">
    <w:name w:val="Header Char"/>
    <w:basedOn w:val="DefaultParagraphFont"/>
    <w:link w:val="Header"/>
    <w:rsid w:val="005F3A73"/>
    <w:rPr>
      <w:rFonts w:ascii="Times New Roman" w:eastAsia="Times New Roman" w:hAnsi="Times New Roman" w:cs="Times New Roman"/>
      <w:sz w:val="28"/>
      <w:szCs w:val="20"/>
      <w:lang w:val="ro-RO"/>
    </w:rPr>
  </w:style>
  <w:style w:type="paragraph" w:styleId="BodyTextIndent2">
    <w:name w:val="Body Text Indent 2"/>
    <w:basedOn w:val="Normal"/>
    <w:link w:val="BodyTextIndent2Char"/>
    <w:rsid w:val="005F3A73"/>
    <w:pPr>
      <w:spacing w:after="120" w:line="480" w:lineRule="auto"/>
      <w:ind w:left="283"/>
    </w:pPr>
  </w:style>
  <w:style w:type="character" w:customStyle="1" w:styleId="BodyTextIndent2Char">
    <w:name w:val="Body Text Indent 2 Char"/>
    <w:basedOn w:val="DefaultParagraphFont"/>
    <w:link w:val="BodyTextIndent2"/>
    <w:rsid w:val="005F3A73"/>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semiHidden/>
    <w:rsid w:val="005F3A73"/>
    <w:pPr>
      <w:jc w:val="both"/>
    </w:pPr>
    <w:rPr>
      <w:sz w:val="20"/>
      <w:szCs w:val="20"/>
      <w:lang w:val="ro-RO" w:eastAsia="en-US"/>
    </w:rPr>
  </w:style>
  <w:style w:type="character" w:customStyle="1" w:styleId="FootnoteTextChar">
    <w:name w:val="Footnote Text Char"/>
    <w:basedOn w:val="DefaultParagraphFont"/>
    <w:link w:val="FootnoteText"/>
    <w:semiHidden/>
    <w:rsid w:val="005F3A73"/>
    <w:rPr>
      <w:rFonts w:ascii="Times New Roman" w:eastAsia="Times New Roman" w:hAnsi="Times New Roman" w:cs="Times New Roman"/>
      <w:sz w:val="20"/>
      <w:szCs w:val="20"/>
      <w:lang w:val="ro-RO"/>
    </w:rPr>
  </w:style>
  <w:style w:type="paragraph" w:styleId="Footer">
    <w:name w:val="footer"/>
    <w:basedOn w:val="Normal"/>
    <w:link w:val="FooterChar"/>
    <w:uiPriority w:val="99"/>
    <w:rsid w:val="005F3A73"/>
    <w:pPr>
      <w:tabs>
        <w:tab w:val="center" w:pos="4677"/>
        <w:tab w:val="right" w:pos="9355"/>
      </w:tabs>
    </w:pPr>
  </w:style>
  <w:style w:type="character" w:customStyle="1" w:styleId="FooterChar">
    <w:name w:val="Footer Char"/>
    <w:basedOn w:val="DefaultParagraphFont"/>
    <w:link w:val="Footer"/>
    <w:uiPriority w:val="99"/>
    <w:rsid w:val="005F3A73"/>
    <w:rPr>
      <w:rFonts w:ascii="Times New Roman" w:eastAsia="Times New Roman" w:hAnsi="Times New Roman" w:cs="Times New Roman"/>
      <w:sz w:val="24"/>
      <w:szCs w:val="24"/>
      <w:lang w:val="ru-RU" w:eastAsia="ru-RU"/>
    </w:rPr>
  </w:style>
  <w:style w:type="paragraph" w:styleId="BodyTextIndent3">
    <w:name w:val="Body Text Indent 3"/>
    <w:basedOn w:val="Normal"/>
    <w:link w:val="BodyTextIndent3Char"/>
    <w:rsid w:val="005F3A73"/>
    <w:pPr>
      <w:spacing w:after="120"/>
      <w:ind w:left="283"/>
    </w:pPr>
    <w:rPr>
      <w:sz w:val="16"/>
      <w:szCs w:val="16"/>
    </w:rPr>
  </w:style>
  <w:style w:type="character" w:customStyle="1" w:styleId="BodyTextIndent3Char">
    <w:name w:val="Body Text Indent 3 Char"/>
    <w:basedOn w:val="DefaultParagraphFont"/>
    <w:link w:val="BodyTextIndent3"/>
    <w:rsid w:val="005F3A73"/>
    <w:rPr>
      <w:rFonts w:ascii="Times New Roman" w:eastAsia="Times New Roman" w:hAnsi="Times New Roman" w:cs="Times New Roman"/>
      <w:sz w:val="16"/>
      <w:szCs w:val="16"/>
      <w:lang w:val="ru-RU" w:eastAsia="ru-RU"/>
    </w:rPr>
  </w:style>
  <w:style w:type="paragraph" w:styleId="BodyText2">
    <w:name w:val="Body Text 2"/>
    <w:basedOn w:val="Normal"/>
    <w:link w:val="BodyText2Char"/>
    <w:rsid w:val="005F3A73"/>
    <w:pPr>
      <w:spacing w:after="120" w:line="480" w:lineRule="auto"/>
    </w:pPr>
  </w:style>
  <w:style w:type="character" w:customStyle="1" w:styleId="BodyText2Char">
    <w:name w:val="Body Text 2 Char"/>
    <w:basedOn w:val="DefaultParagraphFont"/>
    <w:link w:val="BodyText2"/>
    <w:rsid w:val="005F3A73"/>
    <w:rPr>
      <w:rFonts w:ascii="Times New Roman" w:eastAsia="Times New Roman" w:hAnsi="Times New Roman" w:cs="Times New Roman"/>
      <w:sz w:val="24"/>
      <w:szCs w:val="24"/>
      <w:lang w:val="ru-RU" w:eastAsia="ru-RU"/>
    </w:rPr>
  </w:style>
  <w:style w:type="character" w:customStyle="1" w:styleId="acttlitera">
    <w:name w:val="act_tlitera"/>
    <w:basedOn w:val="DefaultParagraphFont"/>
    <w:rsid w:val="005F3A73"/>
  </w:style>
  <w:style w:type="paragraph" w:customStyle="1" w:styleId="cp">
    <w:name w:val="cp"/>
    <w:basedOn w:val="Normal"/>
    <w:rsid w:val="005F3A73"/>
    <w:pPr>
      <w:jc w:val="center"/>
    </w:pPr>
    <w:rPr>
      <w:b/>
      <w:bCs/>
      <w:lang w:bidi="or-IN"/>
    </w:rPr>
  </w:style>
  <w:style w:type="paragraph" w:customStyle="1" w:styleId="md">
    <w:name w:val="md"/>
    <w:basedOn w:val="Normal"/>
    <w:rsid w:val="005F3A73"/>
    <w:pPr>
      <w:ind w:firstLine="567"/>
      <w:jc w:val="both"/>
    </w:pPr>
    <w:rPr>
      <w:i/>
      <w:iCs/>
      <w:color w:val="663300"/>
      <w:sz w:val="20"/>
      <w:szCs w:val="20"/>
      <w:lang w:bidi="or-IN"/>
    </w:rPr>
  </w:style>
  <w:style w:type="paragraph" w:styleId="BodyText3">
    <w:name w:val="Body Text 3"/>
    <w:basedOn w:val="Normal"/>
    <w:link w:val="BodyText3Char"/>
    <w:rsid w:val="005F3A73"/>
    <w:pPr>
      <w:spacing w:after="120"/>
    </w:pPr>
    <w:rPr>
      <w:sz w:val="16"/>
      <w:szCs w:val="16"/>
    </w:rPr>
  </w:style>
  <w:style w:type="character" w:customStyle="1" w:styleId="BodyText3Char">
    <w:name w:val="Body Text 3 Char"/>
    <w:basedOn w:val="DefaultParagraphFont"/>
    <w:link w:val="BodyText3"/>
    <w:rsid w:val="005F3A73"/>
    <w:rPr>
      <w:rFonts w:ascii="Times New Roman" w:eastAsia="Times New Roman" w:hAnsi="Times New Roman" w:cs="Times New Roman"/>
      <w:sz w:val="16"/>
      <w:szCs w:val="16"/>
      <w:lang w:val="ru-RU" w:eastAsia="ru-RU"/>
    </w:rPr>
  </w:style>
  <w:style w:type="character" w:styleId="Strong">
    <w:name w:val="Strong"/>
    <w:uiPriority w:val="22"/>
    <w:qFormat/>
    <w:rsid w:val="005F3A73"/>
    <w:rPr>
      <w:b/>
      <w:bCs/>
    </w:rPr>
  </w:style>
  <w:style w:type="character" w:customStyle="1" w:styleId="a">
    <w:name w:val="a"/>
    <w:basedOn w:val="DefaultParagraphFont"/>
    <w:rsid w:val="005F3A73"/>
  </w:style>
  <w:style w:type="paragraph" w:customStyle="1" w:styleId="cb">
    <w:name w:val="cb"/>
    <w:basedOn w:val="Normal"/>
    <w:rsid w:val="005F3A73"/>
    <w:pPr>
      <w:jc w:val="center"/>
    </w:pPr>
    <w:rPr>
      <w:b/>
      <w:bCs/>
      <w:lang w:bidi="or-IN"/>
    </w:rPr>
  </w:style>
  <w:style w:type="paragraph" w:customStyle="1" w:styleId="cn">
    <w:name w:val="cn"/>
    <w:basedOn w:val="Normal"/>
    <w:rsid w:val="005F3A73"/>
    <w:pPr>
      <w:jc w:val="center"/>
    </w:pPr>
    <w:rPr>
      <w:lang w:bidi="or-IN"/>
    </w:rPr>
  </w:style>
  <w:style w:type="paragraph" w:customStyle="1" w:styleId="tt">
    <w:name w:val="tt"/>
    <w:basedOn w:val="Normal"/>
    <w:rsid w:val="005F3A73"/>
    <w:pPr>
      <w:jc w:val="center"/>
    </w:pPr>
    <w:rPr>
      <w:b/>
      <w:bCs/>
      <w:lang w:bidi="or-IN"/>
    </w:rPr>
  </w:style>
  <w:style w:type="paragraph" w:customStyle="1" w:styleId="a0">
    <w:name w:val="Знак"/>
    <w:basedOn w:val="Normal"/>
    <w:rsid w:val="005F3A73"/>
    <w:pPr>
      <w:spacing w:after="160" w:line="240" w:lineRule="exact"/>
    </w:pPr>
    <w:rPr>
      <w:rFonts w:ascii="Arial" w:eastAsia="Batang" w:hAnsi="Arial" w:cs="Arial"/>
      <w:sz w:val="20"/>
      <w:szCs w:val="20"/>
      <w:lang w:val="en-US" w:eastAsia="en-US"/>
    </w:rPr>
  </w:style>
  <w:style w:type="paragraph" w:styleId="BodyText">
    <w:name w:val="Body Text"/>
    <w:basedOn w:val="Normal"/>
    <w:link w:val="BodyTextChar"/>
    <w:rsid w:val="005F3A73"/>
    <w:pPr>
      <w:spacing w:after="120"/>
    </w:pPr>
  </w:style>
  <w:style w:type="character" w:customStyle="1" w:styleId="BodyTextChar">
    <w:name w:val="Body Text Char"/>
    <w:basedOn w:val="DefaultParagraphFont"/>
    <w:link w:val="BodyText"/>
    <w:rsid w:val="005F3A73"/>
    <w:rPr>
      <w:rFonts w:ascii="Times New Roman" w:eastAsia="Times New Roman" w:hAnsi="Times New Roman" w:cs="Times New Roman"/>
      <w:sz w:val="24"/>
      <w:szCs w:val="24"/>
      <w:lang w:val="ru-RU" w:eastAsia="ru-RU"/>
    </w:rPr>
  </w:style>
  <w:style w:type="character" w:customStyle="1" w:styleId="BalloonTextChar">
    <w:name w:val="Balloon Text Char"/>
    <w:basedOn w:val="DefaultParagraphFont"/>
    <w:link w:val="BalloonText"/>
    <w:semiHidden/>
    <w:rsid w:val="005F3A73"/>
    <w:rPr>
      <w:rFonts w:ascii="Tahoma" w:eastAsia="Times New Roman" w:hAnsi="Tahoma" w:cs="Times New Roman"/>
      <w:sz w:val="16"/>
      <w:szCs w:val="16"/>
      <w:lang w:val="ru-RU" w:eastAsia="ru-RU"/>
    </w:rPr>
  </w:style>
  <w:style w:type="paragraph" w:styleId="BalloonText">
    <w:name w:val="Balloon Text"/>
    <w:basedOn w:val="Normal"/>
    <w:link w:val="BalloonTextChar"/>
    <w:semiHidden/>
    <w:rsid w:val="005F3A73"/>
    <w:rPr>
      <w:rFonts w:ascii="Tahoma" w:hAnsi="Tahoma"/>
      <w:sz w:val="16"/>
      <w:szCs w:val="16"/>
    </w:rPr>
  </w:style>
  <w:style w:type="paragraph" w:styleId="HTMLPreformatted">
    <w:name w:val="HTML Preformatted"/>
    <w:basedOn w:val="Normal"/>
    <w:link w:val="HTMLPreformattedChar"/>
    <w:rsid w:val="005F3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or-IN"/>
    </w:rPr>
  </w:style>
  <w:style w:type="character" w:customStyle="1" w:styleId="HTMLPreformattedChar">
    <w:name w:val="HTML Preformatted Char"/>
    <w:basedOn w:val="DefaultParagraphFont"/>
    <w:link w:val="HTMLPreformatted"/>
    <w:rsid w:val="005F3A73"/>
    <w:rPr>
      <w:rFonts w:ascii="Courier New" w:eastAsia="Times New Roman" w:hAnsi="Courier New" w:cs="Courier New"/>
      <w:sz w:val="20"/>
      <w:szCs w:val="20"/>
      <w:lang w:val="ru-RU" w:eastAsia="ru-RU" w:bidi="or-IN"/>
    </w:rPr>
  </w:style>
  <w:style w:type="character" w:styleId="Hyperlink">
    <w:name w:val="Hyperlink"/>
    <w:uiPriority w:val="99"/>
    <w:rsid w:val="005F3A73"/>
    <w:rPr>
      <w:color w:val="0000FF"/>
      <w:u w:val="single"/>
    </w:rPr>
  </w:style>
  <w:style w:type="character" w:styleId="PageNumber">
    <w:name w:val="page number"/>
    <w:basedOn w:val="DefaultParagraphFont"/>
    <w:rsid w:val="005F3A73"/>
  </w:style>
  <w:style w:type="paragraph" w:customStyle="1" w:styleId="a1">
    <w:name w:val="Знак Знак"/>
    <w:basedOn w:val="Normal"/>
    <w:next w:val="Normal"/>
    <w:rsid w:val="005F3A73"/>
    <w:pPr>
      <w:spacing w:after="160" w:line="240" w:lineRule="exact"/>
    </w:pPr>
    <w:rPr>
      <w:rFonts w:ascii="Tahoma" w:hAnsi="Tahoma"/>
      <w:szCs w:val="20"/>
      <w:lang w:val="en-US" w:eastAsia="en-US"/>
    </w:rPr>
  </w:style>
  <w:style w:type="paragraph" w:customStyle="1" w:styleId="CM1">
    <w:name w:val="CM1"/>
    <w:basedOn w:val="Normal"/>
    <w:next w:val="Normal"/>
    <w:uiPriority w:val="99"/>
    <w:rsid w:val="005F3A73"/>
    <w:pPr>
      <w:autoSpaceDE w:val="0"/>
      <w:autoSpaceDN w:val="0"/>
      <w:adjustRightInd w:val="0"/>
    </w:pPr>
    <w:rPr>
      <w:rFonts w:ascii="EUAlbertina" w:hAnsi="EUAlbertina"/>
      <w:lang w:val="en-US" w:eastAsia="en-US"/>
    </w:rPr>
  </w:style>
  <w:style w:type="paragraph" w:customStyle="1" w:styleId="CM3">
    <w:name w:val="CM3"/>
    <w:basedOn w:val="Normal"/>
    <w:next w:val="Normal"/>
    <w:uiPriority w:val="99"/>
    <w:rsid w:val="005F3A73"/>
    <w:pPr>
      <w:autoSpaceDE w:val="0"/>
      <w:autoSpaceDN w:val="0"/>
      <w:adjustRightInd w:val="0"/>
    </w:pPr>
    <w:rPr>
      <w:rFonts w:ascii="EUAlbertina" w:hAnsi="EUAlbertina"/>
      <w:lang w:val="en-US" w:eastAsia="en-US"/>
    </w:rPr>
  </w:style>
  <w:style w:type="paragraph" w:customStyle="1" w:styleId="CM4">
    <w:name w:val="CM4"/>
    <w:basedOn w:val="Normal"/>
    <w:next w:val="Normal"/>
    <w:uiPriority w:val="99"/>
    <w:rsid w:val="005F3A73"/>
    <w:pPr>
      <w:autoSpaceDE w:val="0"/>
      <w:autoSpaceDN w:val="0"/>
      <w:adjustRightInd w:val="0"/>
    </w:pPr>
    <w:rPr>
      <w:rFonts w:ascii="EUAlbertina" w:hAnsi="EUAlbertina"/>
      <w:lang w:val="en-US" w:eastAsia="en-US"/>
    </w:rPr>
  </w:style>
  <w:style w:type="paragraph" w:customStyle="1" w:styleId="Default">
    <w:name w:val="Default"/>
    <w:rsid w:val="005F3A73"/>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Char">
    <w:name w:val="Char"/>
    <w:basedOn w:val="Normal"/>
    <w:next w:val="Normal"/>
    <w:rsid w:val="005F3A73"/>
    <w:pPr>
      <w:spacing w:after="160" w:line="240" w:lineRule="exact"/>
    </w:pPr>
    <w:rPr>
      <w:rFonts w:ascii="Tahoma" w:hAnsi="Tahoma"/>
      <w:szCs w:val="20"/>
      <w:lang w:val="en-US" w:eastAsia="en-US"/>
    </w:rPr>
  </w:style>
  <w:style w:type="paragraph" w:customStyle="1" w:styleId="js">
    <w:name w:val="js"/>
    <w:basedOn w:val="Normal"/>
    <w:rsid w:val="005F3A73"/>
    <w:pPr>
      <w:jc w:val="both"/>
    </w:pPr>
    <w:rPr>
      <w:lang w:bidi="or-IN"/>
    </w:rPr>
  </w:style>
  <w:style w:type="paragraph" w:styleId="ListParagraph">
    <w:name w:val="List Paragraph"/>
    <w:basedOn w:val="Normal"/>
    <w:uiPriority w:val="34"/>
    <w:qFormat/>
    <w:rsid w:val="005F3A73"/>
    <w:pPr>
      <w:ind w:left="720"/>
      <w:contextualSpacing/>
    </w:pPr>
  </w:style>
  <w:style w:type="character" w:customStyle="1" w:styleId="ln2talineat">
    <w:name w:val="ln2talineat"/>
    <w:rsid w:val="005F3A73"/>
    <w:rPr>
      <w:rFonts w:cs="Times New Roman"/>
    </w:rPr>
  </w:style>
  <w:style w:type="character" w:customStyle="1" w:styleId="actcpt">
    <w:name w:val="act_cpt"/>
    <w:rsid w:val="005F3A73"/>
    <w:rPr>
      <w:rFonts w:cs="Times New Roman"/>
    </w:rPr>
  </w:style>
  <w:style w:type="character" w:customStyle="1" w:styleId="acttart">
    <w:name w:val="act_tart"/>
    <w:rsid w:val="005F3A73"/>
    <w:rPr>
      <w:rFonts w:cs="Times New Roman"/>
    </w:rPr>
  </w:style>
  <w:style w:type="character" w:customStyle="1" w:styleId="acttsct">
    <w:name w:val="act_tsct"/>
    <w:rsid w:val="005F3A73"/>
    <w:rPr>
      <w:rFonts w:cs="Times New Roman"/>
    </w:rPr>
  </w:style>
  <w:style w:type="character" w:customStyle="1" w:styleId="acttalineat">
    <w:name w:val="act_talineat"/>
    <w:rsid w:val="005F3A73"/>
    <w:rPr>
      <w:rFonts w:cs="Times New Roman"/>
    </w:rPr>
  </w:style>
  <w:style w:type="character" w:customStyle="1" w:styleId="actsct">
    <w:name w:val="act_sct"/>
    <w:rsid w:val="005F3A73"/>
    <w:rPr>
      <w:rFonts w:cs="Times New Roman"/>
    </w:rPr>
  </w:style>
  <w:style w:type="character" w:customStyle="1" w:styleId="ln2tarticol">
    <w:name w:val="ln2tarticol"/>
    <w:rsid w:val="005F3A73"/>
    <w:rPr>
      <w:rFonts w:cs="Times New Roman"/>
    </w:rPr>
  </w:style>
  <w:style w:type="character" w:customStyle="1" w:styleId="acttpunct">
    <w:name w:val="act_tpunct"/>
    <w:rsid w:val="005F3A73"/>
    <w:rPr>
      <w:rFonts w:cs="Times New Roman"/>
    </w:rPr>
  </w:style>
  <w:style w:type="character" w:customStyle="1" w:styleId="ln2articol">
    <w:name w:val="ln2articol"/>
    <w:rsid w:val="005F3A73"/>
    <w:rPr>
      <w:rFonts w:cs="Times New Roman"/>
    </w:rPr>
  </w:style>
  <w:style w:type="character" w:customStyle="1" w:styleId="ln2tlitera">
    <w:name w:val="ln2tlitera"/>
    <w:rsid w:val="005F3A73"/>
    <w:rPr>
      <w:rFonts w:cs="Times New Roman"/>
    </w:rPr>
  </w:style>
  <w:style w:type="character" w:customStyle="1" w:styleId="ln2alineat">
    <w:name w:val="ln2alineat"/>
    <w:rsid w:val="005F3A73"/>
    <w:rPr>
      <w:rFonts w:cs="Times New Roman"/>
    </w:rPr>
  </w:style>
  <w:style w:type="character" w:customStyle="1" w:styleId="actart">
    <w:name w:val="act_art"/>
    <w:rsid w:val="005F3A73"/>
    <w:rPr>
      <w:rFonts w:cs="Times New Roman"/>
    </w:rPr>
  </w:style>
  <w:style w:type="character" w:customStyle="1" w:styleId="ln2litera">
    <w:name w:val="ln2litera"/>
    <w:rsid w:val="005F3A73"/>
    <w:rPr>
      <w:rFonts w:cs="Times New Roman"/>
    </w:rPr>
  </w:style>
  <w:style w:type="character" w:customStyle="1" w:styleId="hps">
    <w:name w:val="hps"/>
    <w:rsid w:val="005F3A73"/>
    <w:rPr>
      <w:rFonts w:cs="Times New Roman"/>
    </w:rPr>
  </w:style>
  <w:style w:type="paragraph" w:customStyle="1" w:styleId="title-division-12">
    <w:name w:val="title-division-12"/>
    <w:basedOn w:val="Normal"/>
    <w:rsid w:val="005F3A73"/>
    <w:pPr>
      <w:spacing w:after="120" w:line="312" w:lineRule="atLeast"/>
      <w:jc w:val="center"/>
    </w:pPr>
    <w:rPr>
      <w:lang w:val="en-US" w:eastAsia="en-US"/>
    </w:rPr>
  </w:style>
  <w:style w:type="paragraph" w:customStyle="1" w:styleId="title-division-22">
    <w:name w:val="title-division-22"/>
    <w:basedOn w:val="Normal"/>
    <w:rsid w:val="005F3A73"/>
    <w:pPr>
      <w:spacing w:after="120" w:line="312" w:lineRule="atLeast"/>
      <w:jc w:val="center"/>
    </w:pPr>
    <w:rPr>
      <w:b/>
      <w:bCs/>
      <w:lang w:val="en-US" w:eastAsia="en-US"/>
    </w:rPr>
  </w:style>
  <w:style w:type="paragraph" w:customStyle="1" w:styleId="CM42">
    <w:name w:val="CM4+2"/>
    <w:basedOn w:val="Default"/>
    <w:next w:val="Default"/>
    <w:uiPriority w:val="99"/>
    <w:rsid w:val="005F3A73"/>
    <w:rPr>
      <w:rFonts w:eastAsiaTheme="minorHAnsi" w:cstheme="minorBidi"/>
      <w:color w:val="auto"/>
    </w:rPr>
  </w:style>
  <w:style w:type="paragraph" w:customStyle="1" w:styleId="Style49">
    <w:name w:val="Style49"/>
    <w:basedOn w:val="Normal"/>
    <w:uiPriority w:val="99"/>
    <w:rsid w:val="005F3A73"/>
    <w:pPr>
      <w:widowControl w:val="0"/>
      <w:autoSpaceDE w:val="0"/>
      <w:autoSpaceDN w:val="0"/>
      <w:adjustRightInd w:val="0"/>
      <w:spacing w:line="213" w:lineRule="exact"/>
      <w:ind w:hanging="274"/>
      <w:jc w:val="both"/>
    </w:pPr>
    <w:rPr>
      <w:rFonts w:ascii="Book Antiqua" w:eastAsiaTheme="minorEastAsia" w:hAnsi="Book Antiqua" w:cstheme="minorBidi"/>
      <w:lang w:val="en-US" w:eastAsia="en-US"/>
    </w:rPr>
  </w:style>
  <w:style w:type="character" w:customStyle="1" w:styleId="FontStyle164">
    <w:name w:val="Font Style164"/>
    <w:basedOn w:val="DefaultParagraphFont"/>
    <w:uiPriority w:val="99"/>
    <w:rsid w:val="005F3A73"/>
    <w:rPr>
      <w:rFonts w:ascii="Book Antiqua" w:hAnsi="Book Antiqua" w:cs="Book Antiqua"/>
      <w:color w:val="000000"/>
      <w:sz w:val="16"/>
      <w:szCs w:val="16"/>
    </w:rPr>
  </w:style>
  <w:style w:type="paragraph" w:customStyle="1" w:styleId="Style5">
    <w:name w:val="Style5"/>
    <w:basedOn w:val="Normal"/>
    <w:uiPriority w:val="99"/>
    <w:rsid w:val="005F3A73"/>
    <w:pPr>
      <w:widowControl w:val="0"/>
      <w:autoSpaceDE w:val="0"/>
      <w:autoSpaceDN w:val="0"/>
      <w:adjustRightInd w:val="0"/>
    </w:pPr>
    <w:rPr>
      <w:rFonts w:ascii="Book Antiqua" w:eastAsiaTheme="minorEastAsia" w:hAnsi="Book Antiqua" w:cstheme="minorBidi"/>
      <w:lang w:val="en-US" w:eastAsia="en-US"/>
    </w:rPr>
  </w:style>
  <w:style w:type="paragraph" w:customStyle="1" w:styleId="Style32">
    <w:name w:val="Style32"/>
    <w:basedOn w:val="Normal"/>
    <w:uiPriority w:val="99"/>
    <w:rsid w:val="005F3A73"/>
    <w:pPr>
      <w:widowControl w:val="0"/>
      <w:autoSpaceDE w:val="0"/>
      <w:autoSpaceDN w:val="0"/>
      <w:adjustRightInd w:val="0"/>
      <w:spacing w:line="216" w:lineRule="exact"/>
      <w:jc w:val="both"/>
    </w:pPr>
    <w:rPr>
      <w:rFonts w:ascii="Book Antiqua" w:eastAsiaTheme="minorEastAsia" w:hAnsi="Book Antiqua" w:cstheme="minorBidi"/>
      <w:lang w:val="en-US" w:eastAsia="en-US"/>
    </w:rPr>
  </w:style>
  <w:style w:type="character" w:customStyle="1" w:styleId="FontStyle158">
    <w:name w:val="Font Style158"/>
    <w:basedOn w:val="DefaultParagraphFont"/>
    <w:uiPriority w:val="99"/>
    <w:rsid w:val="005F3A73"/>
    <w:rPr>
      <w:rFonts w:ascii="Book Antiqua" w:hAnsi="Book Antiqua" w:cs="Book Antiqua"/>
      <w:b/>
      <w:bCs/>
      <w:color w:val="000000"/>
      <w:sz w:val="16"/>
      <w:szCs w:val="16"/>
    </w:rPr>
  </w:style>
  <w:style w:type="character" w:customStyle="1" w:styleId="FontStyle163">
    <w:name w:val="Font Style163"/>
    <w:basedOn w:val="DefaultParagraphFont"/>
    <w:uiPriority w:val="99"/>
    <w:rsid w:val="005F3A73"/>
    <w:rPr>
      <w:rFonts w:ascii="Book Antiqua" w:hAnsi="Book Antiqua" w:cs="Book Antiqua"/>
      <w:i/>
      <w:iCs/>
      <w:color w:val="000000"/>
      <w:sz w:val="16"/>
      <w:szCs w:val="16"/>
    </w:rPr>
  </w:style>
  <w:style w:type="character" w:customStyle="1" w:styleId="subscript">
    <w:name w:val="subscript"/>
    <w:basedOn w:val="DefaultParagraphFont"/>
    <w:rsid w:val="005F3A73"/>
  </w:style>
  <w:style w:type="character" w:customStyle="1" w:styleId="apple-converted-space">
    <w:name w:val="apple-converted-space"/>
    <w:basedOn w:val="DefaultParagraphFont"/>
    <w:rsid w:val="005F3A73"/>
  </w:style>
  <w:style w:type="paragraph" w:customStyle="1" w:styleId="Style44">
    <w:name w:val="Style44"/>
    <w:basedOn w:val="Normal"/>
    <w:uiPriority w:val="99"/>
    <w:rsid w:val="005F3A73"/>
    <w:pPr>
      <w:widowControl w:val="0"/>
      <w:autoSpaceDE w:val="0"/>
      <w:autoSpaceDN w:val="0"/>
      <w:adjustRightInd w:val="0"/>
      <w:spacing w:line="168" w:lineRule="exact"/>
      <w:jc w:val="center"/>
    </w:pPr>
    <w:rPr>
      <w:rFonts w:ascii="Book Antiqua" w:eastAsiaTheme="minorEastAsia" w:hAnsi="Book Antiqua" w:cstheme="minorBidi"/>
      <w:lang w:val="en-US" w:eastAsia="en-US"/>
    </w:rPr>
  </w:style>
  <w:style w:type="paragraph" w:customStyle="1" w:styleId="Style58">
    <w:name w:val="Style58"/>
    <w:basedOn w:val="Normal"/>
    <w:uiPriority w:val="99"/>
    <w:rsid w:val="005F3A73"/>
    <w:pPr>
      <w:widowControl w:val="0"/>
      <w:autoSpaceDE w:val="0"/>
      <w:autoSpaceDN w:val="0"/>
      <w:adjustRightInd w:val="0"/>
    </w:pPr>
    <w:rPr>
      <w:rFonts w:ascii="Book Antiqua" w:eastAsiaTheme="minorEastAsia" w:hAnsi="Book Antiqua" w:cstheme="minorBidi"/>
      <w:lang w:val="en-US" w:eastAsia="en-US"/>
    </w:rPr>
  </w:style>
  <w:style w:type="paragraph" w:customStyle="1" w:styleId="Style82">
    <w:name w:val="Style82"/>
    <w:basedOn w:val="Normal"/>
    <w:uiPriority w:val="99"/>
    <w:rsid w:val="005F3A73"/>
    <w:pPr>
      <w:widowControl w:val="0"/>
      <w:autoSpaceDE w:val="0"/>
      <w:autoSpaceDN w:val="0"/>
      <w:adjustRightInd w:val="0"/>
      <w:spacing w:line="192" w:lineRule="exact"/>
      <w:jc w:val="both"/>
    </w:pPr>
    <w:rPr>
      <w:rFonts w:ascii="Book Antiqua" w:eastAsiaTheme="minorEastAsia" w:hAnsi="Book Antiqua" w:cstheme="minorBidi"/>
      <w:lang w:val="en-US" w:eastAsia="en-US"/>
    </w:rPr>
  </w:style>
  <w:style w:type="character" w:customStyle="1" w:styleId="FontStyle159">
    <w:name w:val="Font Style159"/>
    <w:basedOn w:val="DefaultParagraphFont"/>
    <w:uiPriority w:val="99"/>
    <w:rsid w:val="005F3A73"/>
    <w:rPr>
      <w:rFonts w:ascii="Book Antiqua" w:hAnsi="Book Antiqua" w:cs="Book Antiqua"/>
      <w:color w:val="000000"/>
      <w:sz w:val="14"/>
      <w:szCs w:val="14"/>
    </w:rPr>
  </w:style>
  <w:style w:type="character" w:customStyle="1" w:styleId="FontStyle169">
    <w:name w:val="Font Style169"/>
    <w:basedOn w:val="DefaultParagraphFont"/>
    <w:uiPriority w:val="99"/>
    <w:rsid w:val="005F3A73"/>
    <w:rPr>
      <w:rFonts w:ascii="Book Antiqua" w:hAnsi="Book Antiqua" w:cs="Book Antiqua"/>
      <w:color w:val="000000"/>
      <w:sz w:val="12"/>
      <w:szCs w:val="12"/>
    </w:rPr>
  </w:style>
  <w:style w:type="paragraph" w:customStyle="1" w:styleId="Style69">
    <w:name w:val="Style69"/>
    <w:basedOn w:val="Normal"/>
    <w:uiPriority w:val="99"/>
    <w:rsid w:val="005F3A73"/>
    <w:pPr>
      <w:widowControl w:val="0"/>
      <w:autoSpaceDE w:val="0"/>
      <w:autoSpaceDN w:val="0"/>
      <w:adjustRightInd w:val="0"/>
      <w:spacing w:line="192" w:lineRule="exact"/>
    </w:pPr>
    <w:rPr>
      <w:rFonts w:ascii="Book Antiqua" w:eastAsiaTheme="minorEastAsia" w:hAnsi="Book Antiqua" w:cstheme="minorBidi"/>
      <w:lang w:val="en-US" w:eastAsia="en-US"/>
    </w:rPr>
  </w:style>
  <w:style w:type="paragraph" w:customStyle="1" w:styleId="Style95">
    <w:name w:val="Style95"/>
    <w:basedOn w:val="Normal"/>
    <w:uiPriority w:val="99"/>
    <w:rsid w:val="005F3A73"/>
    <w:pPr>
      <w:widowControl w:val="0"/>
      <w:autoSpaceDE w:val="0"/>
      <w:autoSpaceDN w:val="0"/>
      <w:adjustRightInd w:val="0"/>
      <w:jc w:val="right"/>
    </w:pPr>
    <w:rPr>
      <w:rFonts w:ascii="Book Antiqua" w:eastAsiaTheme="minorEastAsia" w:hAnsi="Book Antiqua" w:cstheme="minorBidi"/>
      <w:lang w:val="en-US" w:eastAsia="en-US"/>
    </w:rPr>
  </w:style>
  <w:style w:type="paragraph" w:customStyle="1" w:styleId="Style92">
    <w:name w:val="Style92"/>
    <w:basedOn w:val="Normal"/>
    <w:uiPriority w:val="99"/>
    <w:rsid w:val="005F3A73"/>
    <w:pPr>
      <w:widowControl w:val="0"/>
      <w:autoSpaceDE w:val="0"/>
      <w:autoSpaceDN w:val="0"/>
      <w:adjustRightInd w:val="0"/>
      <w:spacing w:line="170" w:lineRule="exact"/>
      <w:ind w:firstLine="106"/>
    </w:pPr>
    <w:rPr>
      <w:rFonts w:ascii="Book Antiqua" w:eastAsiaTheme="minorEastAsia" w:hAnsi="Book Antiqua" w:cstheme="minorBidi"/>
      <w:lang w:val="en-US" w:eastAsia="en-US"/>
    </w:rPr>
  </w:style>
  <w:style w:type="paragraph" w:customStyle="1" w:styleId="Style99">
    <w:name w:val="Style99"/>
    <w:basedOn w:val="Normal"/>
    <w:uiPriority w:val="99"/>
    <w:rsid w:val="005F3A73"/>
    <w:pPr>
      <w:widowControl w:val="0"/>
      <w:autoSpaceDE w:val="0"/>
      <w:autoSpaceDN w:val="0"/>
      <w:adjustRightInd w:val="0"/>
      <w:spacing w:line="170" w:lineRule="exact"/>
      <w:jc w:val="right"/>
    </w:pPr>
    <w:rPr>
      <w:rFonts w:ascii="Book Antiqua" w:eastAsiaTheme="minorEastAsia" w:hAnsi="Book Antiqua" w:cstheme="minorBidi"/>
      <w:lang w:val="en-US" w:eastAsia="en-US"/>
    </w:rPr>
  </w:style>
  <w:style w:type="character" w:customStyle="1" w:styleId="italics">
    <w:name w:val="italics"/>
    <w:basedOn w:val="DefaultParagraphFont"/>
    <w:rsid w:val="005F3A73"/>
  </w:style>
  <w:style w:type="paragraph" w:customStyle="1" w:styleId="Style79">
    <w:name w:val="Style79"/>
    <w:basedOn w:val="Normal"/>
    <w:uiPriority w:val="99"/>
    <w:rsid w:val="005F3A73"/>
    <w:pPr>
      <w:widowControl w:val="0"/>
      <w:autoSpaceDE w:val="0"/>
      <w:autoSpaceDN w:val="0"/>
      <w:adjustRightInd w:val="0"/>
      <w:spacing w:line="170" w:lineRule="exact"/>
      <w:ind w:firstLine="48"/>
    </w:pPr>
    <w:rPr>
      <w:rFonts w:ascii="Book Antiqua" w:eastAsiaTheme="minorEastAsia" w:hAnsi="Book Antiqua"/>
      <w:lang w:val="en-US" w:eastAsia="en-US"/>
    </w:rPr>
  </w:style>
  <w:style w:type="character" w:customStyle="1" w:styleId="FontStyle161">
    <w:name w:val="Font Style161"/>
    <w:basedOn w:val="DefaultParagraphFont"/>
    <w:uiPriority w:val="99"/>
    <w:rsid w:val="005F3A73"/>
    <w:rPr>
      <w:rFonts w:ascii="Book Antiqua" w:hAnsi="Book Antiqua" w:cs="Book Antiqua" w:hint="default"/>
      <w:i/>
      <w:iCs/>
      <w:color w:val="000000"/>
      <w:sz w:val="14"/>
      <w:szCs w:val="14"/>
    </w:rPr>
  </w:style>
  <w:style w:type="paragraph" w:customStyle="1" w:styleId="Style119">
    <w:name w:val="Style119"/>
    <w:basedOn w:val="Normal"/>
    <w:uiPriority w:val="99"/>
    <w:rsid w:val="005F3A73"/>
    <w:pPr>
      <w:widowControl w:val="0"/>
      <w:autoSpaceDE w:val="0"/>
      <w:autoSpaceDN w:val="0"/>
      <w:adjustRightInd w:val="0"/>
    </w:pPr>
    <w:rPr>
      <w:rFonts w:ascii="Book Antiqua" w:eastAsiaTheme="minorEastAsia" w:hAnsi="Book Antiqua"/>
      <w:lang w:val="en-US" w:eastAsia="en-US"/>
    </w:rPr>
  </w:style>
  <w:style w:type="paragraph" w:customStyle="1" w:styleId="CM14">
    <w:name w:val="CM1+4"/>
    <w:basedOn w:val="Default"/>
    <w:next w:val="Default"/>
    <w:uiPriority w:val="99"/>
    <w:rsid w:val="005F3A73"/>
    <w:rPr>
      <w:rFonts w:eastAsiaTheme="minorHAnsi" w:cstheme="minorBidi"/>
      <w:color w:val="auto"/>
    </w:rPr>
  </w:style>
  <w:style w:type="paragraph" w:customStyle="1" w:styleId="CM44">
    <w:name w:val="CM4+4"/>
    <w:basedOn w:val="Default"/>
    <w:next w:val="Default"/>
    <w:uiPriority w:val="99"/>
    <w:rsid w:val="005F3A73"/>
    <w:rPr>
      <w:rFonts w:eastAsiaTheme="minorHAnsi" w:cstheme="minorBidi"/>
      <w:color w:val="auto"/>
    </w:rPr>
  </w:style>
  <w:style w:type="paragraph" w:customStyle="1" w:styleId="Style125">
    <w:name w:val="Style125"/>
    <w:basedOn w:val="Normal"/>
    <w:uiPriority w:val="99"/>
    <w:rsid w:val="005F3A73"/>
    <w:pPr>
      <w:widowControl w:val="0"/>
      <w:autoSpaceDE w:val="0"/>
      <w:autoSpaceDN w:val="0"/>
      <w:adjustRightInd w:val="0"/>
    </w:pPr>
    <w:rPr>
      <w:rFonts w:ascii="Book Antiqua" w:eastAsiaTheme="minorEastAsia" w:hAnsi="Book Antiqua"/>
      <w:lang w:val="en-US" w:eastAsia="en-US"/>
    </w:rPr>
  </w:style>
  <w:style w:type="character" w:customStyle="1" w:styleId="FontStyle187">
    <w:name w:val="Font Style187"/>
    <w:basedOn w:val="DefaultParagraphFont"/>
    <w:uiPriority w:val="99"/>
    <w:rsid w:val="005F3A73"/>
    <w:rPr>
      <w:rFonts w:ascii="Book Antiqua" w:hAnsi="Book Antiqua" w:cs="Book Antiqua"/>
      <w:color w:val="000000"/>
      <w:sz w:val="14"/>
      <w:szCs w:val="14"/>
    </w:rPr>
  </w:style>
  <w:style w:type="paragraph" w:customStyle="1" w:styleId="CM45">
    <w:name w:val="CM4+5"/>
    <w:basedOn w:val="Default"/>
    <w:next w:val="Default"/>
    <w:uiPriority w:val="99"/>
    <w:rsid w:val="005F3A73"/>
    <w:rPr>
      <w:rFonts w:eastAsiaTheme="minorHAnsi" w:cstheme="minorBidi"/>
      <w:color w:val="auto"/>
    </w:rPr>
  </w:style>
  <w:style w:type="paragraph" w:customStyle="1" w:styleId="CM15">
    <w:name w:val="CM1+5"/>
    <w:basedOn w:val="Default"/>
    <w:next w:val="Default"/>
    <w:uiPriority w:val="99"/>
    <w:rsid w:val="005F3A73"/>
    <w:rPr>
      <w:rFonts w:eastAsiaTheme="minorHAnsi" w:cstheme="minorBidi"/>
      <w:color w:val="auto"/>
    </w:rPr>
  </w:style>
  <w:style w:type="paragraph" w:customStyle="1" w:styleId="Style75">
    <w:name w:val="Style75"/>
    <w:basedOn w:val="Normal"/>
    <w:uiPriority w:val="99"/>
    <w:rsid w:val="005F3A73"/>
    <w:pPr>
      <w:widowControl w:val="0"/>
      <w:autoSpaceDE w:val="0"/>
      <w:autoSpaceDN w:val="0"/>
      <w:adjustRightInd w:val="0"/>
      <w:spacing w:line="341" w:lineRule="exact"/>
      <w:jc w:val="center"/>
    </w:pPr>
    <w:rPr>
      <w:rFonts w:ascii="Book Antiqua" w:eastAsiaTheme="minorEastAsia" w:hAnsi="Book Antiqua" w:cstheme="minorBidi"/>
      <w:lang w:val="en-US" w:eastAsia="en-US"/>
    </w:rPr>
  </w:style>
  <w:style w:type="paragraph" w:customStyle="1" w:styleId="Style78">
    <w:name w:val="Style78"/>
    <w:basedOn w:val="Normal"/>
    <w:uiPriority w:val="99"/>
    <w:rsid w:val="005F3A73"/>
    <w:pPr>
      <w:widowControl w:val="0"/>
      <w:autoSpaceDE w:val="0"/>
      <w:autoSpaceDN w:val="0"/>
      <w:adjustRightInd w:val="0"/>
      <w:jc w:val="right"/>
    </w:pPr>
    <w:rPr>
      <w:rFonts w:ascii="Book Antiqua" w:eastAsiaTheme="minorEastAsia" w:hAnsi="Book Antiqua" w:cstheme="minorBidi"/>
      <w:lang w:val="en-US" w:eastAsia="en-US"/>
    </w:rPr>
  </w:style>
  <w:style w:type="character" w:styleId="CommentReference">
    <w:name w:val="annotation reference"/>
    <w:basedOn w:val="DefaultParagraphFont"/>
    <w:uiPriority w:val="99"/>
    <w:unhideWhenUsed/>
    <w:rsid w:val="005F3A73"/>
    <w:rPr>
      <w:sz w:val="16"/>
      <w:szCs w:val="16"/>
    </w:rPr>
  </w:style>
  <w:style w:type="paragraph" w:styleId="CommentText">
    <w:name w:val="annotation text"/>
    <w:basedOn w:val="Normal"/>
    <w:link w:val="CommentTextChar"/>
    <w:uiPriority w:val="99"/>
    <w:unhideWhenUsed/>
    <w:rsid w:val="005F3A73"/>
    <w:rPr>
      <w:sz w:val="20"/>
      <w:szCs w:val="20"/>
    </w:rPr>
  </w:style>
  <w:style w:type="character" w:customStyle="1" w:styleId="CommentTextChar">
    <w:name w:val="Comment Text Char"/>
    <w:basedOn w:val="DefaultParagraphFont"/>
    <w:link w:val="CommentText"/>
    <w:uiPriority w:val="99"/>
    <w:rsid w:val="005F3A73"/>
    <w:rPr>
      <w:rFonts w:ascii="Times New Roman" w:eastAsia="Times New Roman" w:hAnsi="Times New Roman" w:cs="Times New Roman"/>
      <w:sz w:val="20"/>
      <w:szCs w:val="20"/>
      <w:lang w:val="ru-RU" w:eastAsia="ru-RU"/>
    </w:rPr>
  </w:style>
  <w:style w:type="character" w:customStyle="1" w:styleId="CommentSubjectChar">
    <w:name w:val="Comment Subject Char"/>
    <w:basedOn w:val="CommentTextChar"/>
    <w:link w:val="CommentSubject"/>
    <w:uiPriority w:val="99"/>
    <w:semiHidden/>
    <w:rsid w:val="005F3A73"/>
    <w:rPr>
      <w:rFonts w:ascii="Times New Roman" w:eastAsia="Times New Roman" w:hAnsi="Times New Roman" w:cs="Times New Roman"/>
      <w:b/>
      <w:bCs/>
      <w:sz w:val="20"/>
      <w:szCs w:val="20"/>
      <w:lang w:val="ru-RU" w:eastAsia="ru-RU"/>
    </w:rPr>
  </w:style>
  <w:style w:type="paragraph" w:styleId="CommentSubject">
    <w:name w:val="annotation subject"/>
    <w:basedOn w:val="CommentText"/>
    <w:next w:val="CommentText"/>
    <w:link w:val="CommentSubjectChar"/>
    <w:uiPriority w:val="99"/>
    <w:semiHidden/>
    <w:unhideWhenUsed/>
    <w:rsid w:val="005F3A73"/>
    <w:rPr>
      <w:b/>
      <w:bCs/>
    </w:rPr>
  </w:style>
  <w:style w:type="paragraph" w:customStyle="1" w:styleId="norm">
    <w:name w:val="norm"/>
    <w:basedOn w:val="Normal"/>
    <w:rsid w:val="005F3A73"/>
    <w:pPr>
      <w:spacing w:before="120"/>
      <w:jc w:val="both"/>
    </w:pPr>
    <w:rPr>
      <w:lang w:val="en-US" w:eastAsia="en-US"/>
    </w:rPr>
  </w:style>
  <w:style w:type="paragraph" w:customStyle="1" w:styleId="title-article-norm">
    <w:name w:val="title-article-norm"/>
    <w:basedOn w:val="Normal"/>
    <w:rsid w:val="005F3A73"/>
    <w:pPr>
      <w:spacing w:before="240" w:after="120"/>
      <w:jc w:val="center"/>
    </w:pPr>
    <w:rPr>
      <w:i/>
      <w:iCs/>
      <w:lang w:val="en-US" w:eastAsia="en-US"/>
    </w:rPr>
  </w:style>
  <w:style w:type="paragraph" w:customStyle="1" w:styleId="footnote-spec">
    <w:name w:val="footnote-spec"/>
    <w:basedOn w:val="Normal"/>
    <w:rsid w:val="005F3A73"/>
    <w:pPr>
      <w:spacing w:before="60"/>
      <w:jc w:val="both"/>
    </w:pPr>
    <w:rPr>
      <w:lang w:val="en-US" w:eastAsia="en-US"/>
    </w:rPr>
  </w:style>
  <w:style w:type="paragraph" w:customStyle="1" w:styleId="stitle-article-norm">
    <w:name w:val="stitle-article-norm"/>
    <w:basedOn w:val="Normal"/>
    <w:rsid w:val="005F3A73"/>
    <w:pPr>
      <w:spacing w:before="240" w:after="120"/>
      <w:jc w:val="center"/>
    </w:pPr>
    <w:rPr>
      <w:b/>
      <w:bCs/>
      <w:lang w:val="en-US" w:eastAsia="en-US"/>
    </w:rPr>
  </w:style>
  <w:style w:type="paragraph" w:customStyle="1" w:styleId="title-division-1">
    <w:name w:val="title-division-1"/>
    <w:basedOn w:val="Normal"/>
    <w:rsid w:val="005F3A73"/>
    <w:pPr>
      <w:spacing w:after="120"/>
      <w:jc w:val="center"/>
    </w:pPr>
    <w:rPr>
      <w:lang w:val="en-US" w:eastAsia="en-US"/>
    </w:rPr>
  </w:style>
  <w:style w:type="paragraph" w:customStyle="1" w:styleId="title-division-2">
    <w:name w:val="title-division-2"/>
    <w:basedOn w:val="Normal"/>
    <w:rsid w:val="005F3A73"/>
    <w:pPr>
      <w:spacing w:after="120"/>
      <w:jc w:val="center"/>
    </w:pPr>
    <w:rPr>
      <w:b/>
      <w:bCs/>
      <w:lang w:val="en-US" w:eastAsia="en-US"/>
    </w:rPr>
  </w:style>
  <w:style w:type="character" w:customStyle="1" w:styleId="superscript">
    <w:name w:val="superscript"/>
    <w:basedOn w:val="DefaultParagraphFont"/>
    <w:rsid w:val="005F3A73"/>
    <w:rPr>
      <w:sz w:val="17"/>
      <w:szCs w:val="17"/>
      <w:vertAlign w:val="superscript"/>
    </w:rPr>
  </w:style>
  <w:style w:type="paragraph" w:styleId="PlainText">
    <w:name w:val="Plain Text"/>
    <w:basedOn w:val="Normal"/>
    <w:link w:val="PlainTextChar"/>
    <w:rsid w:val="005F3A73"/>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5F3A73"/>
    <w:rPr>
      <w:rFonts w:ascii="Courier New" w:eastAsia="Times New Roman" w:hAnsi="Courier New" w:cs="Courier New"/>
      <w:sz w:val="20"/>
      <w:szCs w:val="20"/>
    </w:rPr>
  </w:style>
  <w:style w:type="paragraph" w:customStyle="1" w:styleId="title-doc-first">
    <w:name w:val="title-doc-first"/>
    <w:basedOn w:val="Normal"/>
    <w:rsid w:val="005F3A73"/>
    <w:pPr>
      <w:spacing w:before="120"/>
      <w:jc w:val="center"/>
    </w:pPr>
    <w:rPr>
      <w:b/>
      <w:bCs/>
      <w:lang w:val="en-US" w:eastAsia="en-US"/>
    </w:rPr>
  </w:style>
  <w:style w:type="paragraph" w:customStyle="1" w:styleId="toc-1">
    <w:name w:val="toc-1"/>
    <w:basedOn w:val="Normal"/>
    <w:rsid w:val="005F3A73"/>
    <w:pPr>
      <w:spacing w:before="100" w:beforeAutospacing="1" w:after="100" w:afterAutospacing="1"/>
    </w:pPr>
    <w:rPr>
      <w:lang w:val="en-US" w:eastAsia="en-US"/>
    </w:rPr>
  </w:style>
  <w:style w:type="paragraph" w:customStyle="1" w:styleId="modref">
    <w:name w:val="modref"/>
    <w:basedOn w:val="Normal"/>
    <w:rsid w:val="005F3A73"/>
    <w:pPr>
      <w:spacing w:before="120"/>
    </w:pPr>
    <w:rPr>
      <w:b/>
      <w:bCs/>
      <w:lang w:val="en-US" w:eastAsia="en-US"/>
    </w:rPr>
  </w:style>
  <w:style w:type="paragraph" w:customStyle="1" w:styleId="ti-section-1">
    <w:name w:val="ti-section-1"/>
    <w:basedOn w:val="Normal"/>
    <w:rsid w:val="005F3A73"/>
    <w:pPr>
      <w:spacing w:before="480"/>
      <w:jc w:val="center"/>
    </w:pPr>
    <w:rPr>
      <w:b/>
      <w:bCs/>
      <w:lang w:val="en-US" w:eastAsia="en-US"/>
    </w:rPr>
  </w:style>
  <w:style w:type="character" w:customStyle="1" w:styleId="bold">
    <w:name w:val="bold"/>
    <w:basedOn w:val="DefaultParagraphFont"/>
    <w:rsid w:val="005F3A73"/>
    <w:rPr>
      <w:b/>
      <w:bCs/>
    </w:rPr>
  </w:style>
  <w:style w:type="paragraph" w:customStyle="1" w:styleId="ti-art">
    <w:name w:val="ti-art"/>
    <w:basedOn w:val="Normal"/>
    <w:rsid w:val="005F3A73"/>
    <w:pPr>
      <w:spacing w:before="360" w:after="120"/>
      <w:jc w:val="center"/>
    </w:pPr>
    <w:rPr>
      <w:i/>
      <w:iCs/>
      <w:lang w:val="en-US" w:eastAsia="en-US"/>
    </w:rPr>
  </w:style>
  <w:style w:type="paragraph" w:customStyle="1" w:styleId="Normal1">
    <w:name w:val="Normal1"/>
    <w:basedOn w:val="Normal"/>
    <w:rsid w:val="005F3A73"/>
    <w:pPr>
      <w:spacing w:before="120"/>
      <w:jc w:val="both"/>
    </w:pPr>
    <w:rPr>
      <w:lang w:val="en-US" w:eastAsia="en-US"/>
    </w:rPr>
  </w:style>
  <w:style w:type="paragraph" w:customStyle="1" w:styleId="container-center">
    <w:name w:val="container-center"/>
    <w:basedOn w:val="Normal"/>
    <w:rsid w:val="005F3A73"/>
    <w:pPr>
      <w:spacing w:before="100" w:beforeAutospacing="1" w:after="100" w:afterAutospacing="1"/>
      <w:jc w:val="center"/>
    </w:pPr>
    <w:rPr>
      <w:lang w:val="en-US" w:eastAsia="en-US"/>
    </w:rPr>
  </w:style>
  <w:style w:type="paragraph" w:customStyle="1" w:styleId="List1">
    <w:name w:val="List1"/>
    <w:basedOn w:val="Normal"/>
    <w:rsid w:val="005F3A73"/>
    <w:pPr>
      <w:spacing w:before="100" w:beforeAutospacing="1" w:after="100" w:afterAutospacing="1"/>
      <w:ind w:left="240"/>
      <w:jc w:val="both"/>
    </w:pPr>
    <w:rPr>
      <w:lang w:val="en-US" w:eastAsia="en-US"/>
    </w:rPr>
  </w:style>
  <w:style w:type="paragraph" w:customStyle="1" w:styleId="tbl-norm">
    <w:name w:val="tbl-norm"/>
    <w:basedOn w:val="Normal"/>
    <w:rsid w:val="005F3A73"/>
    <w:pPr>
      <w:spacing w:before="60" w:after="60"/>
      <w:jc w:val="both"/>
    </w:pPr>
    <w:rPr>
      <w:lang w:val="en-US" w:eastAsia="en-US"/>
    </w:rPr>
  </w:style>
  <w:style w:type="paragraph" w:customStyle="1" w:styleId="title-table">
    <w:name w:val="title-table"/>
    <w:basedOn w:val="Normal"/>
    <w:rsid w:val="005F3A73"/>
    <w:pPr>
      <w:spacing w:after="120"/>
      <w:jc w:val="center"/>
    </w:pPr>
    <w:rPr>
      <w:b/>
      <w:bCs/>
      <w:lang w:val="en-US" w:eastAsia="en-US"/>
    </w:rPr>
  </w:style>
  <w:style w:type="paragraph" w:customStyle="1" w:styleId="Normal2">
    <w:name w:val="Normal2"/>
    <w:basedOn w:val="Normal"/>
    <w:rsid w:val="005F3A73"/>
    <w:pPr>
      <w:spacing w:before="100" w:beforeAutospacing="1" w:after="100" w:afterAutospacing="1"/>
    </w:pPr>
    <w:rPr>
      <w:lang w:val="en-US" w:eastAsia="en-US"/>
    </w:rPr>
  </w:style>
  <w:style w:type="paragraph" w:customStyle="1" w:styleId="msonormal0">
    <w:name w:val="msonormal"/>
    <w:basedOn w:val="Normal"/>
    <w:rsid w:val="005F3A73"/>
    <w:pPr>
      <w:spacing w:before="100" w:beforeAutospacing="1" w:after="100" w:afterAutospacing="1"/>
    </w:pPr>
    <w:rPr>
      <w:lang w:val="en-US" w:eastAsia="en-US"/>
    </w:rPr>
  </w:style>
  <w:style w:type="paragraph" w:customStyle="1" w:styleId="norm3">
    <w:name w:val="norm3"/>
    <w:basedOn w:val="Normal"/>
    <w:rsid w:val="005F3A73"/>
    <w:pPr>
      <w:spacing w:before="120" w:line="312" w:lineRule="atLeast"/>
      <w:jc w:val="both"/>
    </w:pPr>
    <w:rPr>
      <w:lang w:val="en-US" w:eastAsia="en-US"/>
    </w:rPr>
  </w:style>
  <w:style w:type="paragraph" w:styleId="NoSpacing">
    <w:name w:val="No Spacing"/>
    <w:uiPriority w:val="1"/>
    <w:qFormat/>
    <w:rsid w:val="00190B87"/>
    <w:pPr>
      <w:spacing w:after="0" w:line="240" w:lineRule="auto"/>
    </w:pPr>
  </w:style>
  <w:style w:type="paragraph" w:styleId="Revision">
    <w:name w:val="Revision"/>
    <w:hidden/>
    <w:uiPriority w:val="99"/>
    <w:semiHidden/>
    <w:rsid w:val="00E5655A"/>
    <w:pPr>
      <w:spacing w:after="0" w:line="240" w:lineRule="auto"/>
    </w:pPr>
    <w:rPr>
      <w:rFonts w:ascii="Times New Roman" w:eastAsia="Times New Roman" w:hAnsi="Times New Roman" w:cs="Times New Roman"/>
      <w:sz w:val="24"/>
      <w:szCs w:val="24"/>
      <w:lang w:val="ru-RU" w:eastAsia="ru-RU"/>
    </w:rPr>
  </w:style>
  <w:style w:type="character" w:styleId="UnresolvedMention">
    <w:name w:val="Unresolved Mention"/>
    <w:basedOn w:val="DefaultParagraphFont"/>
    <w:uiPriority w:val="99"/>
    <w:semiHidden/>
    <w:unhideWhenUsed/>
    <w:rsid w:val="00643F80"/>
    <w:rPr>
      <w:color w:val="605E5C"/>
      <w:shd w:val="clear" w:color="auto" w:fill="E1DFDD"/>
    </w:rPr>
  </w:style>
  <w:style w:type="character" w:customStyle="1" w:styleId="cf01">
    <w:name w:val="cf01"/>
    <w:basedOn w:val="DefaultParagraphFont"/>
    <w:rsid w:val="005D5F2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48260">
      <w:bodyDiv w:val="1"/>
      <w:marLeft w:val="0"/>
      <w:marRight w:val="0"/>
      <w:marTop w:val="0"/>
      <w:marBottom w:val="0"/>
      <w:divBdr>
        <w:top w:val="none" w:sz="0" w:space="0" w:color="auto"/>
        <w:left w:val="none" w:sz="0" w:space="0" w:color="auto"/>
        <w:bottom w:val="none" w:sz="0" w:space="0" w:color="auto"/>
        <w:right w:val="none" w:sz="0" w:space="0" w:color="auto"/>
      </w:divBdr>
    </w:div>
    <w:div w:id="241527639">
      <w:bodyDiv w:val="1"/>
      <w:marLeft w:val="0"/>
      <w:marRight w:val="0"/>
      <w:marTop w:val="0"/>
      <w:marBottom w:val="0"/>
      <w:divBdr>
        <w:top w:val="none" w:sz="0" w:space="0" w:color="auto"/>
        <w:left w:val="none" w:sz="0" w:space="0" w:color="auto"/>
        <w:bottom w:val="none" w:sz="0" w:space="0" w:color="auto"/>
        <w:right w:val="none" w:sz="0" w:space="0" w:color="auto"/>
      </w:divBdr>
    </w:div>
    <w:div w:id="520165397">
      <w:bodyDiv w:val="1"/>
      <w:marLeft w:val="0"/>
      <w:marRight w:val="0"/>
      <w:marTop w:val="0"/>
      <w:marBottom w:val="0"/>
      <w:divBdr>
        <w:top w:val="none" w:sz="0" w:space="0" w:color="auto"/>
        <w:left w:val="none" w:sz="0" w:space="0" w:color="auto"/>
        <w:bottom w:val="none" w:sz="0" w:space="0" w:color="auto"/>
        <w:right w:val="none" w:sz="0" w:space="0" w:color="auto"/>
      </w:divBdr>
      <w:divsChild>
        <w:div w:id="1674261742">
          <w:marLeft w:val="0"/>
          <w:marRight w:val="0"/>
          <w:marTop w:val="0"/>
          <w:marBottom w:val="0"/>
          <w:divBdr>
            <w:top w:val="none" w:sz="0" w:space="0" w:color="auto"/>
            <w:left w:val="none" w:sz="0" w:space="0" w:color="auto"/>
            <w:bottom w:val="none" w:sz="0" w:space="0" w:color="auto"/>
            <w:right w:val="none" w:sz="0" w:space="0" w:color="auto"/>
          </w:divBdr>
        </w:div>
      </w:divsChild>
    </w:div>
    <w:div w:id="954871950">
      <w:bodyDiv w:val="1"/>
      <w:marLeft w:val="0"/>
      <w:marRight w:val="0"/>
      <w:marTop w:val="0"/>
      <w:marBottom w:val="0"/>
      <w:divBdr>
        <w:top w:val="none" w:sz="0" w:space="0" w:color="auto"/>
        <w:left w:val="none" w:sz="0" w:space="0" w:color="auto"/>
        <w:bottom w:val="none" w:sz="0" w:space="0" w:color="auto"/>
        <w:right w:val="none" w:sz="0" w:space="0" w:color="auto"/>
      </w:divBdr>
    </w:div>
    <w:div w:id="1423642109">
      <w:bodyDiv w:val="1"/>
      <w:marLeft w:val="0"/>
      <w:marRight w:val="0"/>
      <w:marTop w:val="0"/>
      <w:marBottom w:val="0"/>
      <w:divBdr>
        <w:top w:val="none" w:sz="0" w:space="0" w:color="auto"/>
        <w:left w:val="none" w:sz="0" w:space="0" w:color="auto"/>
        <w:bottom w:val="none" w:sz="0" w:space="0" w:color="auto"/>
        <w:right w:val="none" w:sz="0" w:space="0" w:color="auto"/>
      </w:divBdr>
    </w:div>
    <w:div w:id="1940796916">
      <w:bodyDiv w:val="1"/>
      <w:marLeft w:val="0"/>
      <w:marRight w:val="0"/>
      <w:marTop w:val="0"/>
      <w:marBottom w:val="0"/>
      <w:divBdr>
        <w:top w:val="none" w:sz="0" w:space="0" w:color="auto"/>
        <w:left w:val="none" w:sz="0" w:space="0" w:color="auto"/>
        <w:bottom w:val="none" w:sz="0" w:space="0" w:color="auto"/>
        <w:right w:val="none" w:sz="0" w:space="0" w:color="auto"/>
      </w:divBdr>
      <w:divsChild>
        <w:div w:id="1528446730">
          <w:marLeft w:val="0"/>
          <w:marRight w:val="0"/>
          <w:marTop w:val="0"/>
          <w:marBottom w:val="0"/>
          <w:divBdr>
            <w:top w:val="none" w:sz="0" w:space="0" w:color="auto"/>
            <w:left w:val="none" w:sz="0" w:space="0" w:color="auto"/>
            <w:bottom w:val="none" w:sz="0" w:space="0" w:color="auto"/>
            <w:right w:val="none" w:sz="0" w:space="0" w:color="auto"/>
          </w:divBdr>
        </w:div>
        <w:div w:id="400519391">
          <w:marLeft w:val="0"/>
          <w:marRight w:val="0"/>
          <w:marTop w:val="0"/>
          <w:marBottom w:val="0"/>
          <w:divBdr>
            <w:top w:val="none" w:sz="0" w:space="0" w:color="auto"/>
            <w:left w:val="none" w:sz="0" w:space="0" w:color="auto"/>
            <w:bottom w:val="none" w:sz="0" w:space="0" w:color="auto"/>
            <w:right w:val="none" w:sz="0" w:space="0" w:color="auto"/>
          </w:divBdr>
        </w:div>
        <w:div w:id="1029799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itus xmlns="http://schemas.titus.com/TitusProperties/">
  <TitusGUID xmlns="">f9dc13b9-184d-4208-88b5-f5b58253d123</TitusGUID>
  <TitusMetadata xmlns="">eyJucyI6IioiLCJwcm9wcyI6W3sibiI6IkNsYXNpZmljYXJlIiwidmFscyI6W3sidmFsdWUiOiJOT05FIn1dfV19</TitusMetadata>
</titu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1634D-7678-43C7-9093-4ADAA281E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92115-1083-4203-ABFD-04803716B09E}">
  <ds:schemaRefs>
    <ds:schemaRef ds:uri="http://schemas.titus.com/TitusProperties/"/>
    <ds:schemaRef ds:uri=""/>
  </ds:schemaRefs>
</ds:datastoreItem>
</file>

<file path=customXml/itemProps3.xml><?xml version="1.0" encoding="utf-8"?>
<ds:datastoreItem xmlns:ds="http://schemas.openxmlformats.org/officeDocument/2006/customXml" ds:itemID="{D3B0D63D-ACF7-44BB-BD70-4B691B473E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32E8EF-D770-47C2-9539-84EA45E4CFA8}">
  <ds:schemaRefs>
    <ds:schemaRef ds:uri="http://schemas.microsoft.com/sharepoint/v3/contenttype/forms"/>
  </ds:schemaRefs>
</ds:datastoreItem>
</file>

<file path=customXml/itemProps5.xml><?xml version="1.0" encoding="utf-8"?>
<ds:datastoreItem xmlns:ds="http://schemas.openxmlformats.org/officeDocument/2006/customXml" ds:itemID="{B514FBFC-61C1-4D37-8324-C900C185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952</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2026-03-27T13:54:00Z</cp:lastPrinted>
  <dcterms:created xsi:type="dcterms:W3CDTF">2026-03-27T13:55:00Z</dcterms:created>
  <dcterms:modified xsi:type="dcterms:W3CDTF">2026-03-27T13:55:00Z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f9dc13b9-184d-4208-88b5-f5b58253d123</vt:lpwstr>
  </property>
  <property fmtid="{D5CDD505-2E9C-101B-9397-08002B2CF9AE}" pid="3" name="ContentTypeId">
    <vt:lpwstr>0x01010041CC8FD9FC602D47942046F00E7457D2</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2025-01-13T07:32:34Z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c666afc8-d817-4bf5-87cb-19c27617c07c</vt:lpwstr>
  </property>
  <property fmtid="{D5CDD505-2E9C-101B-9397-08002B2CF9AE}" pid="11" name="MSIP_Label_38962dcf-d39f-4edc-a396-338a56ba9170_ContentBits">
    <vt:lpwstr>0</vt:lpwstr>
  </property>
</Properties>
</file>